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0B1E" w14:textId="77777777" w:rsidR="00A324E2" w:rsidRDefault="00A324E2" w:rsidP="00392AAF">
      <w:pPr>
        <w:rPr>
          <w:rFonts w:ascii="宋体" w:eastAsia="宋体" w:hAnsi="宋体"/>
          <w:sz w:val="32"/>
          <w:szCs w:val="32"/>
        </w:rPr>
      </w:pPr>
    </w:p>
    <w:p w14:paraId="1ECB5D22" w14:textId="77777777" w:rsidR="00A324E2" w:rsidRDefault="00C14EF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4B7D86" w14:paraId="1E8A3622" w14:textId="77777777" w:rsidTr="00CC2F1A">
        <w:tc>
          <w:tcPr>
            <w:tcW w:w="1413" w:type="dxa"/>
          </w:tcPr>
          <w:p w14:paraId="7AC0B604" w14:textId="77777777" w:rsidR="004B7D86" w:rsidRDefault="004B7D8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883" w:type="dxa"/>
          </w:tcPr>
          <w:p w14:paraId="00036D71" w14:textId="4337C6B3" w:rsidR="004B7D86" w:rsidRDefault="004B7D8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实时荧光定量PCR系统</w:t>
            </w:r>
          </w:p>
        </w:tc>
      </w:tr>
      <w:tr w:rsidR="00A324E2" w14:paraId="4A595CE3" w14:textId="77777777">
        <w:trPr>
          <w:trHeight w:val="1301"/>
        </w:trPr>
        <w:tc>
          <w:tcPr>
            <w:tcW w:w="8296" w:type="dxa"/>
            <w:gridSpan w:val="2"/>
          </w:tcPr>
          <w:p w14:paraId="61B935A3" w14:textId="77777777" w:rsidR="00A324E2" w:rsidRPr="00C14EF6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4EF6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194BA8F3" w14:textId="77777777" w:rsidR="00A324E2" w:rsidRPr="00C14EF6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4EF6">
              <w:rPr>
                <w:rFonts w:ascii="宋体" w:eastAsia="宋体" w:hAnsi="宋体" w:hint="eastAsia"/>
                <w:sz w:val="24"/>
                <w:szCs w:val="24"/>
              </w:rPr>
              <w:t>1、教学：可为生命科学、细胞生物学、分子生物学、免疫学、药学等相关学科的学生提供教学指导。</w:t>
            </w:r>
          </w:p>
          <w:p w14:paraId="069D39FD" w14:textId="77777777" w:rsidR="00A324E2" w:rsidRPr="00C14EF6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14EF6">
              <w:rPr>
                <w:rFonts w:ascii="宋体" w:eastAsia="宋体" w:hAnsi="宋体" w:hint="eastAsia"/>
                <w:sz w:val="24"/>
                <w:szCs w:val="24"/>
              </w:rPr>
              <w:t>2、科研：可以开展基于DNA，RNA甚至蛋白相关的研究，如病原体检测、基因表达分析、SNP基因分型、拷贝数分析、microRNA 及其他非编码RNA分析以及高分辨率熔解曲线分析等可有效提高科研水平，简单的操作模式可有效提高研究工作开展的效率。</w:t>
            </w:r>
          </w:p>
          <w:p w14:paraId="58C64BDE" w14:textId="2DFCEA78" w:rsidR="00C14EF6" w:rsidRDefault="00C14EF6" w:rsidP="00C14EF6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C14EF6">
              <w:rPr>
                <w:rFonts w:ascii="宋体" w:eastAsia="宋体" w:hAnsi="宋体" w:hint="eastAsia"/>
                <w:sz w:val="24"/>
                <w:szCs w:val="24"/>
              </w:rPr>
              <w:t>3、校内外服务：指派经过培训的专人管理，该仪器可在本院内进行资源共享。若条件允许，可以开展对外的服务项目，提供仪器的使用效率，发挥仪器的最大价值。</w:t>
            </w:r>
          </w:p>
        </w:tc>
      </w:tr>
      <w:tr w:rsidR="00A324E2" w:rsidRPr="00C14EF6" w14:paraId="77B05AEA" w14:textId="77777777">
        <w:trPr>
          <w:trHeight w:val="7141"/>
        </w:trPr>
        <w:tc>
          <w:tcPr>
            <w:tcW w:w="8296" w:type="dxa"/>
            <w:gridSpan w:val="2"/>
          </w:tcPr>
          <w:p w14:paraId="614D571D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6F13EDE4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1 检测通道：6通道，6组激发通道和6组检测通道，可自由组合检测21种荧光光谱</w:t>
            </w:r>
          </w:p>
          <w:p w14:paraId="6A9A356B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2 样品通量：0.2ml 单管、8连管、96孔板</w:t>
            </w:r>
          </w:p>
          <w:p w14:paraId="390031CC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3 光源：高能量白光LED光源</w:t>
            </w:r>
          </w:p>
          <w:p w14:paraId="5783367A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4 检测器：CCD</w:t>
            </w:r>
          </w:p>
          <w:p w14:paraId="5FCDB837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5 样品体积：10-100ul</w:t>
            </w:r>
          </w:p>
          <w:p w14:paraId="72210446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6.1 控温模式：半导体控温</w:t>
            </w:r>
          </w:p>
          <w:p w14:paraId="77ADD9A7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6.2 控温范围：4-100℃</w:t>
            </w:r>
          </w:p>
          <w:p w14:paraId="6383CEFB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6.3温度准确性：≤±0.25℃（35-99℃）</w:t>
            </w:r>
          </w:p>
          <w:p w14:paraId="52A86200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7最大升降温速度：≥6.5℃/s</w:t>
            </w:r>
          </w:p>
          <w:p w14:paraId="20C48CA4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8 多片区控温：整个Block可以分为6个片区，每个片区可以单独设定温度并且可以进行精确的控制，可以最多同时扩增6对Tm值不同的引物，也可以实现32+32+32或者48+48的组合。</w:t>
            </w:r>
          </w:p>
          <w:p w14:paraId="2F5445F9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9.1运行方式：快速模式 / 标准模式</w:t>
            </w:r>
          </w:p>
          <w:p w14:paraId="4F0D257E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9.2运行时间：&lt;30min运行40个循环</w:t>
            </w:r>
          </w:p>
          <w:p w14:paraId="466429EA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10荧光染料兼容性：FAM™/</w:t>
            </w:r>
            <w:proofErr w:type="spellStart"/>
            <w:r w:rsidRPr="00CA6965">
              <w:rPr>
                <w:rFonts w:ascii="宋体" w:eastAsia="宋体" w:hAnsi="宋体" w:hint="eastAsia"/>
                <w:sz w:val="24"/>
                <w:szCs w:val="24"/>
              </w:rPr>
              <w:t>SYBR®Green,VIC</w:t>
            </w:r>
            <w:proofErr w:type="spellEnd"/>
            <w:r w:rsidRPr="00CA6965">
              <w:rPr>
                <w:rFonts w:ascii="宋体" w:eastAsia="宋体" w:hAnsi="宋体" w:hint="eastAsia"/>
                <w:sz w:val="24"/>
                <w:szCs w:val="24"/>
              </w:rPr>
              <w:t>®/JOE™/HEX/TET,ABY®/NED™/ TAMRA ™/Cy®3,JUN®,ROX™/Texas Red®, Mustang Purple®,Cy®5/LIZ®, Cy®5.5</w:t>
            </w:r>
          </w:p>
          <w:p w14:paraId="0BA8D95E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11 检测灵敏度：有效区分1.5倍模板差异</w:t>
            </w:r>
          </w:p>
          <w:p w14:paraId="67A79914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12 具有ROX专利校准，可有效校正实验误差</w:t>
            </w:r>
          </w:p>
          <w:p w14:paraId="23A87B5E" w14:textId="77777777" w:rsidR="00A324E2" w:rsidRPr="00CA6965" w:rsidRDefault="00C14EF6" w:rsidP="00C14EF6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A6965">
              <w:rPr>
                <w:rFonts w:ascii="宋体" w:eastAsia="宋体" w:hAnsi="宋体" w:hint="eastAsia"/>
                <w:sz w:val="24"/>
                <w:szCs w:val="24"/>
              </w:rPr>
              <w:t>13 内置触摸屏电脑：LCD/ Full VGA (640x480)/32K 色。可脱离电脑独立运行，触摸屏电脑可备份还原超过100次的实验数据</w:t>
            </w:r>
          </w:p>
          <w:p w14:paraId="3969D036" w14:textId="7A74A072" w:rsidR="00A324E2" w:rsidRDefault="00A324E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7ACA50" w14:textId="4DCEA3B5" w:rsidR="00A324E2" w:rsidRPr="00C14EF6" w:rsidRDefault="00A324E2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9485FE8" w14:textId="0B6B3910" w:rsidR="00A324E2" w:rsidRDefault="00A324E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A3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3372BD"/>
    <w:rsid w:val="00392AAF"/>
    <w:rsid w:val="004B7D86"/>
    <w:rsid w:val="007C0E4C"/>
    <w:rsid w:val="00852ACA"/>
    <w:rsid w:val="0085369C"/>
    <w:rsid w:val="009917FC"/>
    <w:rsid w:val="00A324E2"/>
    <w:rsid w:val="00C14EF6"/>
    <w:rsid w:val="00CA6965"/>
    <w:rsid w:val="00F06A8F"/>
    <w:rsid w:val="51D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B2734"/>
  <w15:docId w15:val="{1008BB49-F982-114C-A33F-FA08DF7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2021-11-24T07:46:00Z</cp:lastPrinted>
  <dcterms:created xsi:type="dcterms:W3CDTF">2021-11-29T08:21:00Z</dcterms:created>
  <dcterms:modified xsi:type="dcterms:W3CDTF">2021-11-29T08:21:00Z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E3F8D0A65C594D1BA9753CE5D20639BF</vt:lpwstr>
  </property>
</Properties>
</file>