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4D" w:rsidRDefault="003A164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466"/>
      </w:tblGrid>
      <w:tr w:rsidR="0030415B" w:rsidTr="00B470E6">
        <w:trPr>
          <w:jc w:val="center"/>
        </w:trPr>
        <w:tc>
          <w:tcPr>
            <w:tcW w:w="8296" w:type="dxa"/>
            <w:gridSpan w:val="2"/>
          </w:tcPr>
          <w:p w:rsidR="0030415B" w:rsidRDefault="00304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0415B" w:rsidRDefault="00304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11人制及7人制足球门（含球网）</w:t>
            </w:r>
          </w:p>
          <w:p w:rsidR="0030415B" w:rsidRDefault="00304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2234D">
        <w:trPr>
          <w:jc w:val="center"/>
        </w:trPr>
        <w:tc>
          <w:tcPr>
            <w:tcW w:w="2830" w:type="dxa"/>
          </w:tcPr>
          <w:p w:rsidR="0002234D" w:rsidRDefault="0030415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02234D" w:rsidRDefault="00304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40000元</w:t>
            </w:r>
          </w:p>
        </w:tc>
      </w:tr>
      <w:tr w:rsidR="0002234D">
        <w:trPr>
          <w:trHeight w:val="552"/>
          <w:jc w:val="center"/>
        </w:trPr>
        <w:tc>
          <w:tcPr>
            <w:tcW w:w="8296" w:type="dxa"/>
            <w:gridSpan w:val="2"/>
          </w:tcPr>
          <w:p w:rsidR="0002234D" w:rsidRDefault="003A164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用于足球课、足球比赛、活动等使用</w:t>
            </w:r>
          </w:p>
        </w:tc>
      </w:tr>
      <w:tr w:rsidR="0002234D">
        <w:trPr>
          <w:trHeight w:val="6874"/>
          <w:jc w:val="center"/>
        </w:trPr>
        <w:tc>
          <w:tcPr>
            <w:tcW w:w="8296" w:type="dxa"/>
            <w:gridSpan w:val="2"/>
          </w:tcPr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人制球门及球网（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对）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、球门内净基本尺寸：长</w:t>
            </w:r>
            <w:r>
              <w:rPr>
                <w:rFonts w:ascii="宋体" w:eastAsia="宋体" w:hAnsi="宋体"/>
                <w:sz w:val="28"/>
                <w:szCs w:val="28"/>
              </w:rPr>
              <w:t>×</w:t>
            </w:r>
            <w:r>
              <w:rPr>
                <w:rFonts w:ascii="宋体" w:eastAsia="宋体" w:hAnsi="宋体"/>
                <w:sz w:val="28"/>
                <w:szCs w:val="28"/>
              </w:rPr>
              <w:t>高</w:t>
            </w:r>
            <w:r>
              <w:rPr>
                <w:rFonts w:ascii="宋体" w:eastAsia="宋体" w:hAnsi="宋体"/>
                <w:sz w:val="28"/>
                <w:szCs w:val="28"/>
              </w:rPr>
              <w:t>×</w:t>
            </w:r>
            <w:r>
              <w:rPr>
                <w:rFonts w:ascii="宋体" w:eastAsia="宋体" w:hAnsi="宋体"/>
                <w:sz w:val="28"/>
                <w:szCs w:val="28"/>
              </w:rPr>
              <w:t>深</w:t>
            </w:r>
            <w:r>
              <w:rPr>
                <w:rFonts w:ascii="宋体" w:eastAsia="宋体" w:hAnsi="宋体"/>
                <w:sz w:val="28"/>
                <w:szCs w:val="28"/>
              </w:rPr>
              <w:t>=7320×2440×2650</w:t>
            </w:r>
            <w:r>
              <w:rPr>
                <w:rFonts w:ascii="宋体" w:eastAsia="宋体" w:hAnsi="宋体"/>
                <w:sz w:val="28"/>
                <w:szCs w:val="28"/>
              </w:rPr>
              <w:t>（㎜）。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、足球门由立杆、横梁、两侧撑杆、两侧横杆和后侧横杆组成。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、球门立杆和横梁均采用</w:t>
            </w:r>
            <w:r>
              <w:rPr>
                <w:rFonts w:ascii="宋体" w:eastAsia="宋体" w:hAnsi="宋体"/>
                <w:sz w:val="28"/>
                <w:szCs w:val="28"/>
              </w:rPr>
              <w:t>120</w:t>
            </w:r>
            <w:r>
              <w:rPr>
                <w:rFonts w:ascii="宋体" w:eastAsia="宋体" w:hAnsi="宋体"/>
                <w:sz w:val="28"/>
                <w:szCs w:val="28"/>
              </w:rPr>
              <w:t>铝合金型材制成，上设网勾，置网方便，球网系线柱两侧撑杆采用</w:t>
            </w:r>
            <w:r>
              <w:rPr>
                <w:rFonts w:ascii="宋体" w:eastAsia="宋体" w:hAnsi="宋体"/>
                <w:sz w:val="28"/>
                <w:szCs w:val="28"/>
              </w:rPr>
              <w:t>48×2.75</w:t>
            </w:r>
            <w:r>
              <w:rPr>
                <w:rFonts w:ascii="宋体" w:eastAsia="宋体" w:hAnsi="宋体"/>
                <w:sz w:val="28"/>
                <w:szCs w:val="28"/>
              </w:rPr>
              <w:t>的钢管制成，两侧横杆和后侧横杆均采用</w:t>
            </w:r>
            <w:r>
              <w:rPr>
                <w:rFonts w:ascii="宋体" w:eastAsia="宋体" w:hAnsi="宋体"/>
                <w:sz w:val="28"/>
                <w:szCs w:val="28"/>
              </w:rPr>
              <w:t>100×40×3</w:t>
            </w:r>
            <w:r>
              <w:rPr>
                <w:rFonts w:ascii="宋体" w:eastAsia="宋体" w:hAnsi="宋体"/>
                <w:sz w:val="28"/>
                <w:szCs w:val="28"/>
              </w:rPr>
              <w:t>方管制作。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sz w:val="28"/>
                <w:szCs w:val="28"/>
              </w:rPr>
              <w:t>、横梁和立杆上没有可能危害到运动员安全的连接物件露在外面。球门组装完成后，立杆与地面垂直，横梁与立杆的夹角为</w:t>
            </w:r>
            <w:r>
              <w:rPr>
                <w:rFonts w:ascii="宋体" w:eastAsia="宋体" w:hAnsi="宋体"/>
                <w:sz w:val="28"/>
                <w:szCs w:val="28"/>
              </w:rPr>
              <w:t>90°</w:t>
            </w:r>
            <w:r>
              <w:rPr>
                <w:rFonts w:ascii="宋体" w:eastAsia="宋体" w:hAnsi="宋体"/>
                <w:sz w:val="28"/>
                <w:szCs w:val="28"/>
              </w:rPr>
              <w:t>，连接件周边处理圆滑，无棱角。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、球门两侧撑杆采用钢丝绳连接紧固，既可增强球门整体稳定性，又可起到撑网的作用。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、为保证球门的整体稳定性，在球门后侧横杆位置配置了球门固定压板，保证球门的位置不因运动员的冲撞而移动位置。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sz w:val="28"/>
                <w:szCs w:val="28"/>
              </w:rPr>
              <w:t>、球</w:t>
            </w:r>
            <w:r>
              <w:rPr>
                <w:rFonts w:ascii="宋体" w:eastAsia="宋体" w:hAnsi="宋体"/>
                <w:sz w:val="28"/>
                <w:szCs w:val="28"/>
              </w:rPr>
              <w:t>门整体可装拆，便于运输和安装。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、产品涂层厚度</w:t>
            </w:r>
            <w:r>
              <w:rPr>
                <w:rFonts w:ascii="宋体" w:eastAsia="宋体" w:hAnsi="宋体"/>
                <w:sz w:val="28"/>
                <w:szCs w:val="28"/>
              </w:rPr>
              <w:t>70-80um</w:t>
            </w:r>
            <w:r>
              <w:rPr>
                <w:rFonts w:ascii="宋体" w:eastAsia="宋体" w:hAnsi="宋体"/>
                <w:sz w:val="28"/>
                <w:szCs w:val="28"/>
              </w:rPr>
              <w:t>，铅笔硬度达</w:t>
            </w:r>
            <w:r>
              <w:rPr>
                <w:rFonts w:ascii="宋体" w:eastAsia="宋体" w:hAnsi="宋体"/>
                <w:sz w:val="28"/>
                <w:szCs w:val="28"/>
              </w:rPr>
              <w:t>3H+</w:t>
            </w:r>
            <w:r>
              <w:rPr>
                <w:rFonts w:ascii="宋体" w:eastAsia="宋体" w:hAnsi="宋体"/>
                <w:sz w:val="28"/>
                <w:szCs w:val="28"/>
              </w:rPr>
              <w:t>。耐酸碱、耐湿热、抗老化、外观美观，能适合潮湿和酸雨环境，前处理过程以及产品涂料配方均不含有毒元素，避免损害健康。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人制球门及球网（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对）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 w:hint="eastAsia"/>
                <w:sz w:val="28"/>
              </w:rPr>
              <w:t>、球门内净基本尺寸：长×高</w:t>
            </w:r>
            <w:r>
              <w:rPr>
                <w:rFonts w:ascii="宋体" w:eastAsia="宋体" w:hAnsi="宋体" w:hint="eastAsia"/>
                <w:sz w:val="28"/>
              </w:rPr>
              <w:t>=5000</w:t>
            </w:r>
            <w:r>
              <w:rPr>
                <w:rFonts w:ascii="宋体" w:eastAsia="宋体" w:hAnsi="宋体" w:hint="eastAsia"/>
                <w:sz w:val="28"/>
              </w:rPr>
              <w:t>×</w:t>
            </w:r>
            <w:r>
              <w:rPr>
                <w:rFonts w:ascii="宋体" w:eastAsia="宋体" w:hAnsi="宋体" w:hint="eastAsia"/>
                <w:sz w:val="28"/>
              </w:rPr>
              <w:t>2000</w:t>
            </w:r>
            <w:r>
              <w:rPr>
                <w:rFonts w:ascii="宋体" w:eastAsia="宋体" w:hAnsi="宋体" w:hint="eastAsia"/>
                <w:sz w:val="28"/>
              </w:rPr>
              <w:t>（㎜）球网</w:t>
            </w:r>
            <w:r>
              <w:rPr>
                <w:rFonts w:ascii="宋体" w:eastAsia="宋体" w:hAnsi="宋体"/>
                <w:sz w:val="28"/>
              </w:rPr>
              <w:t>深度</w:t>
            </w:r>
            <w:r>
              <w:rPr>
                <w:rFonts w:ascii="宋体" w:eastAsia="宋体" w:hAnsi="宋体" w:hint="eastAsia"/>
                <w:sz w:val="28"/>
              </w:rPr>
              <w:t>1500mm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</w:t>
            </w:r>
            <w:r>
              <w:rPr>
                <w:rFonts w:ascii="宋体" w:eastAsia="宋体" w:hAnsi="宋体" w:hint="eastAsia"/>
                <w:sz w:val="28"/>
              </w:rPr>
              <w:t>、足球门由立杆、横梁、两侧撑杆、两侧横杆和后侧横杆组成。</w:t>
            </w:r>
          </w:p>
          <w:p w:rsidR="0002234D" w:rsidRDefault="003A164D">
            <w:pPr>
              <w:snapToGrid w:val="0"/>
              <w:ind w:firstLineChars="200" w:firstLine="56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  <w:r>
              <w:rPr>
                <w:rFonts w:ascii="宋体" w:eastAsia="宋体" w:hAnsi="宋体" w:hint="eastAsia"/>
                <w:sz w:val="28"/>
              </w:rPr>
              <w:t>、球门立杆和横梁均采用φ</w:t>
            </w:r>
            <w:r>
              <w:rPr>
                <w:rFonts w:ascii="宋体" w:eastAsia="宋体" w:hAnsi="宋体" w:hint="eastAsia"/>
                <w:sz w:val="28"/>
              </w:rPr>
              <w:t>120</w:t>
            </w:r>
            <w:r>
              <w:rPr>
                <w:rFonts w:ascii="宋体" w:eastAsia="宋体" w:hAnsi="宋体" w:hint="eastAsia"/>
                <w:sz w:val="28"/>
              </w:rPr>
              <w:t>铝合金型材制成，上设网勾，置网方便，球网系线柱两侧撑杆采用φ</w:t>
            </w:r>
            <w:r>
              <w:rPr>
                <w:rFonts w:ascii="宋体" w:eastAsia="宋体" w:hAnsi="宋体" w:hint="eastAsia"/>
                <w:sz w:val="28"/>
              </w:rPr>
              <w:t>48</w:t>
            </w:r>
            <w:r>
              <w:rPr>
                <w:rFonts w:ascii="宋体" w:eastAsia="宋体" w:hAnsi="宋体" w:hint="eastAsia"/>
                <w:sz w:val="28"/>
              </w:rPr>
              <w:t>×</w:t>
            </w:r>
            <w:r>
              <w:rPr>
                <w:rFonts w:ascii="宋体" w:eastAsia="宋体" w:hAnsi="宋体" w:hint="eastAsia"/>
                <w:sz w:val="28"/>
              </w:rPr>
              <w:t>2.75</w:t>
            </w:r>
            <w:r>
              <w:rPr>
                <w:rFonts w:ascii="宋体" w:eastAsia="宋体" w:hAnsi="宋体" w:hint="eastAsia"/>
                <w:sz w:val="28"/>
              </w:rPr>
              <w:t>的钢管制成，两侧横杆和后侧横杆均采用□</w:t>
            </w:r>
            <w:r>
              <w:rPr>
                <w:rFonts w:ascii="宋体" w:eastAsia="宋体" w:hAnsi="宋体" w:hint="eastAsia"/>
                <w:sz w:val="28"/>
              </w:rPr>
              <w:t>100</w:t>
            </w:r>
            <w:r>
              <w:rPr>
                <w:rFonts w:ascii="宋体" w:eastAsia="宋体" w:hAnsi="宋体" w:hint="eastAsia"/>
                <w:sz w:val="28"/>
              </w:rPr>
              <w:t>×</w:t>
            </w:r>
            <w:r>
              <w:rPr>
                <w:rFonts w:ascii="宋体" w:eastAsia="宋体" w:hAnsi="宋体" w:hint="eastAsia"/>
                <w:sz w:val="28"/>
              </w:rPr>
              <w:t>40</w:t>
            </w:r>
            <w:r>
              <w:rPr>
                <w:rFonts w:ascii="宋体" w:eastAsia="宋体" w:hAnsi="宋体" w:hint="eastAsia"/>
                <w:sz w:val="28"/>
              </w:rPr>
              <w:t>×</w:t>
            </w:r>
            <w:r>
              <w:rPr>
                <w:rFonts w:ascii="宋体" w:eastAsia="宋体" w:hAnsi="宋体" w:hint="eastAsia"/>
                <w:sz w:val="28"/>
              </w:rPr>
              <w:t>3</w:t>
            </w:r>
            <w:r>
              <w:rPr>
                <w:rFonts w:ascii="宋体" w:eastAsia="宋体" w:hAnsi="宋体" w:hint="eastAsia"/>
                <w:sz w:val="28"/>
              </w:rPr>
              <w:t>方管制作。</w:t>
            </w:r>
          </w:p>
          <w:p w:rsidR="0002234D" w:rsidRDefault="003A164D">
            <w:pPr>
              <w:snapToGrid w:val="0"/>
              <w:ind w:firstLine="56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4</w:t>
            </w:r>
            <w:r>
              <w:rPr>
                <w:rFonts w:ascii="宋体" w:eastAsia="宋体" w:hAnsi="宋体" w:hint="eastAsia"/>
                <w:sz w:val="28"/>
              </w:rPr>
              <w:t>、横梁和立杆上没有可能危害到运动员安全的连接物件露在外面。球门组装完成后，立杆与地面垂直，横梁与立杆的夹角为</w:t>
            </w:r>
            <w:r>
              <w:rPr>
                <w:rFonts w:ascii="宋体" w:eastAsia="宋体" w:hAnsi="宋体" w:hint="eastAsia"/>
                <w:sz w:val="28"/>
              </w:rPr>
              <w:t>90</w:t>
            </w:r>
            <w:r>
              <w:rPr>
                <w:rFonts w:ascii="宋体" w:eastAsia="宋体" w:hAnsi="宋体" w:hint="eastAsia"/>
                <w:sz w:val="28"/>
              </w:rPr>
              <w:t>°，连接件周边处理圆滑，无棱角。</w:t>
            </w:r>
          </w:p>
          <w:p w:rsidR="0002234D" w:rsidRDefault="003A164D">
            <w:pPr>
              <w:snapToGrid w:val="0"/>
              <w:ind w:firstLine="56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lastRenderedPageBreak/>
              <w:t>5</w:t>
            </w:r>
            <w:r>
              <w:rPr>
                <w:rFonts w:ascii="宋体" w:eastAsia="宋体" w:hAnsi="宋体" w:hint="eastAsia"/>
                <w:sz w:val="28"/>
              </w:rPr>
              <w:t>、球门两侧撑杆采用钢丝绳连接紧固，既可增强球门整体稳定性，又可起到撑网的作用。</w:t>
            </w:r>
          </w:p>
          <w:p w:rsidR="0002234D" w:rsidRDefault="003A164D">
            <w:pPr>
              <w:snapToGrid w:val="0"/>
              <w:ind w:firstLine="56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6</w:t>
            </w:r>
            <w:r>
              <w:rPr>
                <w:rFonts w:ascii="宋体" w:eastAsia="宋体" w:hAnsi="宋体" w:hint="eastAsia"/>
                <w:sz w:val="28"/>
              </w:rPr>
              <w:t>、为保证球门的整体稳定性，在球门后侧横杆位置配置了球门固定压板，保证球门的位置不因运动员的冲撞而移动位置。</w:t>
            </w:r>
          </w:p>
          <w:p w:rsidR="0002234D" w:rsidRDefault="003A164D">
            <w:pPr>
              <w:snapToGrid w:val="0"/>
              <w:ind w:firstLine="56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7</w:t>
            </w:r>
            <w:r>
              <w:rPr>
                <w:rFonts w:ascii="宋体" w:eastAsia="宋体" w:hAnsi="宋体" w:hint="eastAsia"/>
                <w:sz w:val="28"/>
              </w:rPr>
              <w:t>、球门整体可装拆，便于运输和安装。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、产品涂层厚度</w:t>
            </w:r>
            <w:r>
              <w:rPr>
                <w:rFonts w:ascii="宋体" w:eastAsia="宋体" w:hAnsi="宋体"/>
                <w:sz w:val="28"/>
                <w:szCs w:val="28"/>
              </w:rPr>
              <w:t>70-80um</w:t>
            </w:r>
            <w:r>
              <w:rPr>
                <w:rFonts w:ascii="宋体" w:eastAsia="宋体" w:hAnsi="宋体"/>
                <w:sz w:val="28"/>
                <w:szCs w:val="28"/>
              </w:rPr>
              <w:t>，铅笔硬度达</w:t>
            </w:r>
            <w:r>
              <w:rPr>
                <w:rFonts w:ascii="宋体" w:eastAsia="宋体" w:hAnsi="宋体"/>
                <w:sz w:val="28"/>
                <w:szCs w:val="28"/>
              </w:rPr>
              <w:t>3H+</w:t>
            </w:r>
            <w:r>
              <w:rPr>
                <w:rFonts w:ascii="宋体" w:eastAsia="宋体" w:hAnsi="宋体"/>
                <w:sz w:val="28"/>
                <w:szCs w:val="28"/>
              </w:rPr>
              <w:t>。耐酸碱、耐湿热、抗老化、外观美观，能适合潮湿和酸雨环境，前处理过程以及产品涂料配方均不含有毒元素，避免损害健康。</w:t>
            </w:r>
          </w:p>
          <w:p w:rsidR="0002234D" w:rsidRDefault="003A164D">
            <w:pPr>
              <w:snapToGrid w:val="0"/>
              <w:rPr>
                <w:rFonts w:ascii="宋体" w:eastAsia="宋体" w:hAnsi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 w:val="28"/>
                <w:szCs w:val="28"/>
              </w:rPr>
              <w:t>注：包运输和安装</w:t>
            </w:r>
          </w:p>
          <w:p w:rsidR="0002234D" w:rsidRDefault="0002234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2234D" w:rsidRDefault="003A164D" w:rsidP="00304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0415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02234D" w:rsidRDefault="003A164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02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172A27"/>
    <w:rsid w:val="0002234D"/>
    <w:rsid w:val="00077372"/>
    <w:rsid w:val="0011746F"/>
    <w:rsid w:val="00172A27"/>
    <w:rsid w:val="0030415B"/>
    <w:rsid w:val="003372BD"/>
    <w:rsid w:val="003A164D"/>
    <w:rsid w:val="007C0E4C"/>
    <w:rsid w:val="0085369C"/>
    <w:rsid w:val="009917FC"/>
    <w:rsid w:val="00F06A8F"/>
    <w:rsid w:val="058B3286"/>
    <w:rsid w:val="0B193D43"/>
    <w:rsid w:val="0BF803C0"/>
    <w:rsid w:val="26B521AD"/>
    <w:rsid w:val="29EC6874"/>
    <w:rsid w:val="2D3F4D10"/>
    <w:rsid w:val="382363E0"/>
    <w:rsid w:val="3BBE4DD0"/>
    <w:rsid w:val="4B5E4E5F"/>
    <w:rsid w:val="4F091B73"/>
    <w:rsid w:val="4F6D4AE8"/>
    <w:rsid w:val="65685B30"/>
    <w:rsid w:val="698A2621"/>
    <w:rsid w:val="70727955"/>
    <w:rsid w:val="70807F32"/>
    <w:rsid w:val="71AD45FA"/>
    <w:rsid w:val="74041D09"/>
    <w:rsid w:val="74FF1085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1AF1"/>
  <w15:docId w15:val="{AC19F4E2-C90B-45E5-A292-D4294816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Company>南京中医药大学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2023-05-11T02:10:00Z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73A168C183D24226B1B439FF67AFEF6D</vt:lpwstr>
  </property>
</Properties>
</file>