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仪器设备购置技术参数要求确认单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产品名称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296" w:type="dxa"/>
          </w:tcPr>
          <w:p>
            <w:pPr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主要用途描述：</w:t>
            </w: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资料柜，矮柜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1" w:hRule="atLeast"/>
        </w:trPr>
        <w:tc>
          <w:tcPr>
            <w:tcW w:w="8296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参数要求：</w:t>
            </w:r>
          </w:p>
          <w:p>
            <w:pPr>
              <w:spacing w:line="276" w:lineRule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资料柜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3730*500*2300（10门）</w:t>
            </w:r>
          </w:p>
          <w:p>
            <w:pP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1、贴面板材：德国夏特饰面，德国胡克钢模板一次性压注成型，具有防水、防烫、防污、防酸、防碱、防火等优点：</w:t>
            </w:r>
          </w:p>
          <w:p>
            <w:pP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★2、基材：采用国际E1级刨花板，木材经过防虫、防潮、防腐、二次烘干蒸发处理，甲醛含量未检出，板内密度偏差±5%，弹性模量（MOE）≥2800MPa；</w:t>
            </w:r>
          </w:p>
          <w:p>
            <w:pP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3、封边用材：采用2mm厚的ABS封边,甲醛释放量≤0.1mg/L;</w:t>
            </w:r>
          </w:p>
          <w:p>
            <w:pP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4、胶粘剂：采用水性胶粘剂, 符合GB 18583-2008室内装饰装修材料胶粘剂中有害物质限量标准要求，其中总挥发性有机物含量≤20g/L，游离甲醛＜0.5g/kg。</w:t>
            </w:r>
          </w:p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5、五金配件：参考海福乐、海蒂诗、FGV、BMB同档次及以上品牌，符合QB/T 2189-2013家具五金杯状暗铰链，QB/T 2454-2013家具五金抽屉导轨，锁符合 QB/T 1621-2015或GB/T 3325-2017或者GB21556-2008家具锁技术标准要求。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　　</w:t>
            </w:r>
          </w:p>
          <w:p>
            <w:pPr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矮柜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10.8米</w:t>
            </w:r>
          </w:p>
          <w:p>
            <w:pP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1、贴面板材：德国夏特饰面，德国胡克钢模板一次性压注成型，具有防水、防烫、防污、防酸、防碱、防火等优点：</w:t>
            </w:r>
          </w:p>
          <w:p>
            <w:pP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★2、基材：采用国际E1级刨花板，木材经过防虫、防潮、防腐、二次烘干蒸发处理，甲醛含量未检出，板内密度偏差±5%，弹性模量（MOE）≥2800MPa；</w:t>
            </w:r>
          </w:p>
          <w:p>
            <w:pP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3、封边用材：采用2mm厚的ABS封边,甲醛释放量≤0.1mg/L;</w:t>
            </w:r>
          </w:p>
          <w:p>
            <w:pP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4、胶粘剂：采用水性胶粘剂, 符合GB 18583-2008室内装饰装修材料胶粘剂中有害物质限量标准要求，其中总挥发性有机物含量≤20g/L，游离甲醛＜0.5g/kg。</w:t>
            </w:r>
          </w:p>
          <w:p>
            <w:pP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5、五金配件：参考海福乐、海蒂诗、FGV、BMB同档次及以上品牌，符合QB/T 2189-2013家具五金杯状暗铰链，QB/T 2454-2013家具五金抽屉导轨，锁符合 QB/T 1621-2015或GB/T 3325-2017或者GB21556-2008家具锁技术标准要求。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　</w:t>
            </w:r>
          </w:p>
          <w:p>
            <w:pPr>
              <w:jc w:val="center"/>
            </w:pPr>
            <w:r>
              <w:drawing>
                <wp:inline distT="0" distB="0" distL="114300" distR="114300">
                  <wp:extent cx="2728595" cy="2376170"/>
                  <wp:effectExtent l="0" t="0" r="14605" b="5080"/>
                  <wp:docPr id="22027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27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8595" cy="2376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drawing>
                <wp:inline distT="0" distB="0" distL="114300" distR="114300">
                  <wp:extent cx="3651250" cy="1471295"/>
                  <wp:effectExtent l="0" t="0" r="6350" b="14605"/>
                  <wp:docPr id="22027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27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1250" cy="1471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left="242" w:leftChars="-1" w:hanging="244" w:hangingChars="136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 xml:space="preserve"> </w:t>
      </w:r>
    </w:p>
    <w:p>
      <w:pPr>
        <w:ind w:left="242" w:leftChars="-1" w:hanging="244" w:hangingChars="136"/>
        <w:jc w:val="center"/>
        <w:rPr>
          <w:rFonts w:ascii="宋体" w:hAnsi="宋体" w:eastAsia="宋体"/>
          <w:sz w:val="18"/>
          <w:szCs w:val="18"/>
        </w:rPr>
      </w:pPr>
    </w:p>
    <w:p>
      <w:pPr>
        <w:ind w:left="242" w:leftChars="-1" w:hanging="244" w:hangingChars="136"/>
        <w:rPr>
          <w:rFonts w:ascii="宋体" w:hAnsi="宋体" w:eastAsia="宋体"/>
          <w:sz w:val="18"/>
          <w:szCs w:val="18"/>
        </w:rPr>
      </w:pPr>
    </w:p>
    <w:p>
      <w:pPr>
        <w:ind w:left="242" w:leftChars="-1" w:hanging="244" w:hangingChars="136"/>
        <w:jc w:val="center"/>
        <w:rPr>
          <w:rFonts w:ascii="宋体" w:hAnsi="宋体" w:eastAsia="宋体"/>
          <w:sz w:val="18"/>
          <w:szCs w:val="18"/>
        </w:rPr>
      </w:pPr>
    </w:p>
    <w:sectPr>
      <w:pgSz w:w="11906" w:h="16838"/>
      <w:pgMar w:top="567" w:right="1800" w:bottom="56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77372"/>
    <w:rsid w:val="0007770B"/>
    <w:rsid w:val="000C539A"/>
    <w:rsid w:val="0011746F"/>
    <w:rsid w:val="003372BD"/>
    <w:rsid w:val="004C4299"/>
    <w:rsid w:val="00733F70"/>
    <w:rsid w:val="007C0E4C"/>
    <w:rsid w:val="0085369C"/>
    <w:rsid w:val="009917FC"/>
    <w:rsid w:val="00C82527"/>
    <w:rsid w:val="00F06A8F"/>
    <w:rsid w:val="0F6B5F31"/>
    <w:rsid w:val="2FF5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南京中医药大学</Company>
  <Pages>1</Pages>
  <Words>81</Words>
  <Characters>462</Characters>
  <Lines>3</Lines>
  <Paragraphs>1</Paragraphs>
  <TotalTime>1</TotalTime>
  <ScaleCrop>false</ScaleCrop>
  <LinksUpToDate>false</LinksUpToDate>
  <CharactersWithSpaces>542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2021-03-21T08:32:00Z</dcterms:created>
  <dc:creator>汤凡</dc:creator>
  <cp:lastModifiedBy>Administrator</cp:lastModifiedBy>
  <cp:lastPrinted>2021-03-29T01:31:00Z</cp:lastPrinted>
  <dcterms:modified xsi:type="dcterms:W3CDTF">2021-06-21T09:37:08Z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B34D8E462BFF4359A596D90B7B43CC39</vt:lpwstr>
  </property>
</Properties>
</file>