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7BC" w:rsidRDefault="00A30A8B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4"/>
        <w:tblW w:w="8480" w:type="dxa"/>
        <w:tblLayout w:type="fixed"/>
        <w:tblLook w:val="04A0" w:firstRow="1" w:lastRow="0" w:firstColumn="1" w:lastColumn="0" w:noHBand="0" w:noVBand="1"/>
      </w:tblPr>
      <w:tblGrid>
        <w:gridCol w:w="2024"/>
        <w:gridCol w:w="869"/>
        <w:gridCol w:w="1594"/>
        <w:gridCol w:w="1739"/>
        <w:gridCol w:w="2254"/>
      </w:tblGrid>
      <w:tr w:rsidR="004017BC">
        <w:trPr>
          <w:trHeight w:val="625"/>
        </w:trPr>
        <w:tc>
          <w:tcPr>
            <w:tcW w:w="2024" w:type="dxa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63" w:type="dxa"/>
            <w:gridSpan w:val="2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超纯水系统</w:t>
            </w:r>
          </w:p>
        </w:tc>
        <w:tc>
          <w:tcPr>
            <w:tcW w:w="1739" w:type="dxa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54" w:type="dxa"/>
          </w:tcPr>
          <w:p w:rsidR="004017BC" w:rsidRDefault="004017B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017BC">
        <w:trPr>
          <w:trHeight w:val="625"/>
        </w:trPr>
        <w:tc>
          <w:tcPr>
            <w:tcW w:w="2024" w:type="dxa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63" w:type="dxa"/>
            <w:gridSpan w:val="2"/>
          </w:tcPr>
          <w:p w:rsidR="004017BC" w:rsidRDefault="004017B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39" w:type="dxa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54" w:type="dxa"/>
          </w:tcPr>
          <w:p w:rsidR="004017BC" w:rsidRDefault="004017B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017BC">
        <w:trPr>
          <w:trHeight w:val="1240"/>
        </w:trPr>
        <w:tc>
          <w:tcPr>
            <w:tcW w:w="2893" w:type="dxa"/>
            <w:gridSpan w:val="2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587" w:type="dxa"/>
            <w:gridSpan w:val="3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默克密理博/</w:t>
            </w:r>
            <w:r>
              <w:rPr>
                <w:rFonts w:hint="eastAsia"/>
                <w:sz w:val="24"/>
                <w:szCs w:val="24"/>
              </w:rPr>
              <w:t>Synergy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宋体" w:hint="eastAsia"/>
                <w:sz w:val="24"/>
                <w:szCs w:val="24"/>
              </w:rPr>
              <w:t>uv</w:t>
            </w:r>
            <w:proofErr w:type="spellEnd"/>
          </w:p>
        </w:tc>
      </w:tr>
      <w:tr w:rsidR="004017BC">
        <w:trPr>
          <w:trHeight w:val="683"/>
        </w:trPr>
        <w:tc>
          <w:tcPr>
            <w:tcW w:w="8480" w:type="dxa"/>
            <w:gridSpan w:val="5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主要用途描述：制备纯水、超纯水用于实验。</w:t>
            </w:r>
          </w:p>
        </w:tc>
      </w:tr>
      <w:tr w:rsidR="004017BC">
        <w:trPr>
          <w:trHeight w:val="4357"/>
        </w:trPr>
        <w:tc>
          <w:tcPr>
            <w:tcW w:w="8480" w:type="dxa"/>
            <w:gridSpan w:val="5"/>
          </w:tcPr>
          <w:p w:rsidR="004017BC" w:rsidRDefault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  <w:szCs w:val="21"/>
              </w:rPr>
              <w:t>超纯水</w:t>
            </w:r>
            <w:r>
              <w:rPr>
                <w:szCs w:val="21"/>
              </w:rPr>
              <w:t>系统由分析级纯水或蒸馏水作进水，连续生产超纯水。</w:t>
            </w:r>
            <w:r>
              <w:t>根据</w:t>
            </w:r>
            <w:r>
              <w:rPr>
                <w:rFonts w:hint="eastAsia"/>
              </w:rPr>
              <w:t>进水</w:t>
            </w:r>
            <w:r>
              <w:t>水质不同和用途不同，可灵活选择不同的预纯化柱和超纯化柱</w:t>
            </w:r>
            <w:r>
              <w:rPr>
                <w:szCs w:val="21"/>
              </w:rPr>
              <w:t>。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*</w:t>
            </w:r>
            <w:r>
              <w:rPr>
                <w:rFonts w:hint="eastAsia"/>
                <w:szCs w:val="21"/>
              </w:rPr>
              <w:t>出水水质：</w:t>
            </w:r>
          </w:p>
          <w:p w:rsidR="004017BC" w:rsidRDefault="00A30A8B">
            <w:pPr>
              <w:ind w:left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出水电阻率</w:t>
            </w:r>
            <w:r>
              <w:rPr>
                <w:rFonts w:ascii="宋体" w:hAnsi="宋体" w:hint="eastAsia"/>
                <w:szCs w:val="21"/>
              </w:rPr>
              <w:t xml:space="preserve">                                 18.2M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>.cm @ 25</w:t>
            </w:r>
            <w:r>
              <w:rPr>
                <w:rFonts w:ascii="宋体" w:hAnsi="宋体" w:hint="eastAsia"/>
                <w:szCs w:val="21"/>
              </w:rPr>
              <w:t>℃</w:t>
            </w:r>
          </w:p>
          <w:p w:rsidR="004017BC" w:rsidRDefault="00A30A8B">
            <w:pPr>
              <w:ind w:left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TOC</w:t>
            </w:r>
            <w:r>
              <w:rPr>
                <w:rFonts w:ascii="宋体" w:hAnsi="宋体" w:hint="eastAsia"/>
                <w:szCs w:val="21"/>
              </w:rPr>
              <w:t>含量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 &lt;5ppb</w:t>
            </w:r>
          </w:p>
          <w:p w:rsidR="004017BC" w:rsidRDefault="00A30A8B">
            <w:pPr>
              <w:ind w:left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细菌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    &lt;0.1cfu/ml</w:t>
            </w:r>
          </w:p>
          <w:p w:rsidR="004017BC" w:rsidRDefault="00A30A8B">
            <w:pPr>
              <w:ind w:left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产水流速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&gt;1.5l/min</w:t>
            </w:r>
          </w:p>
          <w:p w:rsidR="004017BC" w:rsidRDefault="00A30A8B">
            <w:pPr>
              <w:ind w:left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直径大于</w:t>
            </w:r>
            <w:r>
              <w:rPr>
                <w:rFonts w:ascii="宋体" w:hAnsi="宋体" w:hint="eastAsia"/>
                <w:szCs w:val="21"/>
              </w:rPr>
              <w:t>0.22</w:t>
            </w:r>
            <w:r>
              <w:rPr>
                <w:rFonts w:ascii="宋体" w:hAnsi="宋体" w:hint="eastAsia"/>
                <w:szCs w:val="21"/>
              </w:rPr>
              <w:t>μ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的颗粒物数量</w:t>
            </w:r>
            <w:r>
              <w:rPr>
                <w:rFonts w:ascii="宋体" w:hAnsi="宋体" w:hint="eastAsia"/>
                <w:szCs w:val="21"/>
              </w:rPr>
              <w:t xml:space="preserve">               &lt;1/ml</w:t>
            </w:r>
          </w:p>
          <w:p w:rsidR="004017BC" w:rsidRDefault="00A30A8B">
            <w:pPr>
              <w:ind w:left="425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内毒素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   &lt;0.001Eu/ml</w:t>
            </w:r>
          </w:p>
          <w:p w:rsidR="004017BC" w:rsidRDefault="00A30A8B">
            <w:pPr>
              <w:ind w:left="425"/>
              <w:rPr>
                <w:rFonts w:ascii="宋体" w:hAnsi="宋体"/>
                <w:bCs/>
                <w:szCs w:val="21"/>
                <w:lang w:val="pt-BR"/>
              </w:rPr>
            </w:pPr>
            <w:r>
              <w:rPr>
                <w:rFonts w:ascii="宋体" w:hAnsi="宋体"/>
                <w:bCs/>
                <w:szCs w:val="21"/>
                <w:lang w:val="pt-BR"/>
              </w:rPr>
              <w:t>Bisphenol A (</w:t>
            </w:r>
            <w:r>
              <w:rPr>
                <w:rFonts w:ascii="宋体" w:hAnsi="宋体"/>
                <w:bCs/>
                <w:szCs w:val="21"/>
              </w:rPr>
              <w:t>双酚</w:t>
            </w:r>
            <w:r>
              <w:rPr>
                <w:rFonts w:ascii="宋体" w:hAnsi="宋体"/>
                <w:bCs/>
                <w:szCs w:val="21"/>
                <w:lang w:val="pt-BR"/>
              </w:rPr>
              <w:t xml:space="preserve">A)                     </w:t>
            </w:r>
            <w:r>
              <w:rPr>
                <w:rFonts w:ascii="宋体" w:hAnsi="宋体" w:hint="eastAsia"/>
                <w:bCs/>
                <w:szCs w:val="21"/>
                <w:lang w:val="pt-BR"/>
              </w:rPr>
              <w:t xml:space="preserve"> </w:t>
            </w:r>
            <w:r>
              <w:rPr>
                <w:rFonts w:ascii="宋体" w:hAnsi="宋体"/>
                <w:bCs/>
                <w:szCs w:val="21"/>
                <w:lang w:val="pt-BR"/>
              </w:rPr>
              <w:t xml:space="preserve"> &lt;0.005ppb</w:t>
            </w:r>
            <w:r>
              <w:rPr>
                <w:rFonts w:ascii="宋体" w:hAnsi="宋体"/>
                <w:bCs/>
                <w:szCs w:val="21"/>
                <w:lang w:val="pt-BR"/>
              </w:rPr>
              <w:br/>
              <w:t>Diethyl phthalate(DEP-</w:t>
            </w:r>
            <w:r>
              <w:rPr>
                <w:rFonts w:ascii="宋体" w:hAnsi="宋体"/>
                <w:bCs/>
                <w:szCs w:val="21"/>
              </w:rPr>
              <w:t>邻苯二甲酸二乙酯</w:t>
            </w:r>
            <w:r>
              <w:rPr>
                <w:rFonts w:ascii="宋体" w:hAnsi="宋体"/>
                <w:bCs/>
                <w:szCs w:val="21"/>
                <w:lang w:val="pt-BR"/>
              </w:rPr>
              <w:t xml:space="preserve">)  </w:t>
            </w:r>
            <w:r>
              <w:rPr>
                <w:rFonts w:ascii="宋体" w:hAnsi="宋体" w:hint="eastAsia"/>
                <w:bCs/>
                <w:szCs w:val="21"/>
                <w:lang w:val="pt-BR"/>
              </w:rPr>
              <w:t xml:space="preserve">  </w:t>
            </w:r>
            <w:r>
              <w:rPr>
                <w:rFonts w:ascii="宋体" w:hAnsi="宋体"/>
                <w:bCs/>
                <w:szCs w:val="21"/>
                <w:lang w:val="pt-BR"/>
              </w:rPr>
              <w:t>&lt;0.2ppb</w:t>
            </w:r>
            <w:r>
              <w:rPr>
                <w:rFonts w:ascii="宋体" w:hAnsi="宋体"/>
                <w:bCs/>
                <w:szCs w:val="21"/>
                <w:lang w:val="pt-BR"/>
              </w:rPr>
              <w:br/>
              <w:t xml:space="preserve">Di-n-butyl Phtalate(DNBP)               </w:t>
            </w:r>
            <w:r>
              <w:rPr>
                <w:rFonts w:ascii="宋体" w:hAnsi="宋体" w:hint="eastAsia"/>
                <w:bCs/>
                <w:szCs w:val="21"/>
                <w:lang w:val="pt-BR"/>
              </w:rPr>
              <w:t xml:space="preserve">  </w:t>
            </w:r>
            <w:r>
              <w:rPr>
                <w:rFonts w:ascii="宋体" w:hAnsi="宋体"/>
                <w:bCs/>
                <w:szCs w:val="21"/>
                <w:lang w:val="pt-BR"/>
              </w:rPr>
              <w:t xml:space="preserve"> &lt;0.2ppb</w:t>
            </w:r>
            <w:r>
              <w:rPr>
                <w:rFonts w:ascii="宋体" w:hAnsi="宋体"/>
                <w:bCs/>
                <w:szCs w:val="21"/>
                <w:lang w:val="pt-BR"/>
              </w:rPr>
              <w:br/>
              <w:t xml:space="preserve">Nonylphenol(NP)                       </w:t>
            </w:r>
            <w:r>
              <w:rPr>
                <w:rFonts w:ascii="宋体" w:hAnsi="宋体" w:hint="eastAsia"/>
                <w:bCs/>
                <w:szCs w:val="21"/>
                <w:lang w:val="pt-BR"/>
              </w:rPr>
              <w:t xml:space="preserve">  </w:t>
            </w:r>
            <w:r>
              <w:rPr>
                <w:rFonts w:ascii="宋体" w:hAnsi="宋体"/>
                <w:bCs/>
                <w:szCs w:val="21"/>
                <w:lang w:val="pt-BR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  <w:lang w:val="pt-BR"/>
              </w:rPr>
              <w:t xml:space="preserve">  </w:t>
            </w:r>
            <w:r>
              <w:rPr>
                <w:rFonts w:ascii="宋体" w:hAnsi="宋体"/>
                <w:bCs/>
                <w:szCs w:val="21"/>
                <w:lang w:val="pt-BR"/>
              </w:rPr>
              <w:t>&lt;0.1ppb</w:t>
            </w:r>
          </w:p>
          <w:p w:rsidR="004017BC" w:rsidRDefault="00A30A8B">
            <w:pPr>
              <w:ind w:left="42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RNases                                     &lt;0.001ng/ml</w:t>
            </w:r>
          </w:p>
          <w:p w:rsidR="004017BC" w:rsidRDefault="00A30A8B">
            <w:pPr>
              <w:ind w:left="425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DNases                                     &lt;4pg/</w:t>
            </w:r>
            <w:proofErr w:type="spellStart"/>
            <w:r>
              <w:rPr>
                <w:rFonts w:ascii="宋体" w:hAnsi="宋体" w:hint="eastAsia"/>
                <w:bCs/>
                <w:szCs w:val="21"/>
              </w:rPr>
              <w:t>ul</w:t>
            </w:r>
            <w:proofErr w:type="spellEnd"/>
          </w:p>
          <w:p w:rsidR="004017BC" w:rsidRDefault="00A30A8B">
            <w:pPr>
              <w:ind w:left="425"/>
              <w:rPr>
                <w:rFonts w:ascii="华文新魏" w:eastAsia="华文新魏" w:hAnsi="宋体"/>
                <w:szCs w:val="21"/>
                <w:lang w:val="pt-BR"/>
              </w:rPr>
            </w:pPr>
            <w:r>
              <w:rPr>
                <w:rFonts w:ascii="华文新魏" w:eastAsia="华文新魏" w:hAnsi="宋体" w:hint="eastAsia"/>
                <w:szCs w:val="21"/>
              </w:rPr>
              <w:t>超纯水的电阻率、</w:t>
            </w:r>
            <w:r>
              <w:rPr>
                <w:rFonts w:ascii="华文新魏" w:eastAsia="华文新魏" w:hAnsi="宋体" w:hint="eastAsia"/>
                <w:szCs w:val="21"/>
                <w:lang w:val="pt-BR"/>
              </w:rPr>
              <w:t>TOC</w:t>
            </w:r>
            <w:r>
              <w:rPr>
                <w:rFonts w:ascii="华文新魏" w:eastAsia="华文新魏" w:hAnsi="宋体" w:hint="eastAsia"/>
                <w:szCs w:val="21"/>
              </w:rPr>
              <w:t>和细菌水平符合</w:t>
            </w:r>
            <w:r>
              <w:rPr>
                <w:rFonts w:ascii="华文新魏" w:eastAsia="华文新魏" w:hAnsi="宋体" w:hint="eastAsia"/>
                <w:szCs w:val="21"/>
                <w:lang w:val="pt-BR"/>
              </w:rPr>
              <w:t>ISO3696，ASTM D1193，USP，EP</w:t>
            </w:r>
            <w:r>
              <w:rPr>
                <w:rFonts w:ascii="华文新魏" w:eastAsia="华文新魏" w:hAnsi="宋体" w:hint="eastAsia"/>
                <w:szCs w:val="21"/>
              </w:rPr>
              <w:t>以及</w:t>
            </w:r>
            <w:r>
              <w:rPr>
                <w:rFonts w:ascii="华文新魏" w:eastAsia="华文新魏" w:hAnsi="宋体" w:hint="eastAsia"/>
                <w:szCs w:val="21"/>
                <w:lang w:val="pt-BR"/>
              </w:rPr>
              <w:t>CLSI-CLRW</w:t>
            </w:r>
            <w:r>
              <w:rPr>
                <w:rFonts w:ascii="华文新魏" w:eastAsia="华文新魏" w:hAnsi="宋体" w:hint="eastAsia"/>
                <w:szCs w:val="21"/>
              </w:rPr>
              <w:t>中</w:t>
            </w:r>
            <w:r>
              <w:rPr>
                <w:rFonts w:ascii="华文新魏" w:eastAsia="华文新魏" w:hAnsi="宋体" w:hint="eastAsia"/>
                <w:szCs w:val="21"/>
                <w:lang w:val="pt-BR"/>
              </w:rPr>
              <w:t>I</w:t>
            </w:r>
            <w:proofErr w:type="gramStart"/>
            <w:r>
              <w:rPr>
                <w:rFonts w:ascii="华文新魏" w:eastAsia="华文新魏" w:hAnsi="宋体" w:hint="eastAsia"/>
                <w:szCs w:val="21"/>
              </w:rPr>
              <w:t>级水的</w:t>
            </w:r>
            <w:proofErr w:type="gramEnd"/>
            <w:r>
              <w:rPr>
                <w:rFonts w:ascii="华文新魏" w:eastAsia="华文新魏" w:hAnsi="宋体" w:hint="eastAsia"/>
                <w:szCs w:val="21"/>
              </w:rPr>
              <w:t>要求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*</w:t>
            </w:r>
            <w:r>
              <w:rPr>
                <w:bCs/>
                <w:szCs w:val="21"/>
              </w:rPr>
              <w:t>电阻池灵敏常数: 0.01cm-1,电导池:316L，</w:t>
            </w:r>
            <w:r>
              <w:t>并有三种温度补偿模式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</w:rPr>
              <w:t>机器</w:t>
            </w:r>
            <w:proofErr w:type="gramStart"/>
            <w:r>
              <w:t>内置低</w:t>
            </w:r>
            <w:proofErr w:type="gramEnd"/>
            <w:r>
              <w:t>噪音直流泵，1米处&lt; 40d</w:t>
            </w:r>
            <w:r>
              <w:rPr>
                <w:rFonts w:hint="eastAsia"/>
              </w:rPr>
              <w:t>B(A)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</w:rPr>
              <w:t>机器内置185/254nm双波长紫外灯。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  <w:szCs w:val="21"/>
              </w:rPr>
              <w:t>机器</w:t>
            </w:r>
            <w:r>
              <w:rPr>
                <w:szCs w:val="21"/>
              </w:rPr>
              <w:t>可校正系统流速，并设置有自动停水、进水缺水保护装置，防止人为误操作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szCs w:val="21"/>
              </w:rPr>
            </w:pPr>
            <w:r>
              <w:rPr>
                <w:rFonts w:hint="eastAsia"/>
              </w:rPr>
              <w:t>机器</w:t>
            </w:r>
            <w:r>
              <w:t>拥有软件系统以及人机对话功能；如：自动检测,自动维护提示，自动报警，温度</w:t>
            </w:r>
            <w:r>
              <w:rPr>
                <w:rFonts w:hint="eastAsia"/>
              </w:rPr>
              <w:t>校正</w:t>
            </w:r>
            <w:r>
              <w:t>，错误信息显示等功能</w:t>
            </w:r>
          </w:p>
          <w:p w:rsidR="004017BC" w:rsidRDefault="00A30A8B">
            <w:pPr>
              <w:spacing w:line="500" w:lineRule="exact"/>
              <w:ind w:firstLine="1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 w:hint="eastAsia"/>
              </w:rPr>
              <w:t>主机具有液晶</w:t>
            </w:r>
            <w:r>
              <w:rPr>
                <w:rFonts w:ascii="宋体" w:hAnsi="宋体" w:hint="eastAsia"/>
              </w:rPr>
              <w:t>(LCD)</w:t>
            </w:r>
            <w:r>
              <w:rPr>
                <w:rFonts w:ascii="宋体" w:hAnsi="宋体" w:hint="eastAsia"/>
              </w:rPr>
              <w:t>双排文字及数字显示功能，内容如下</w:t>
            </w:r>
            <w:r>
              <w:rPr>
                <w:rFonts w:ascii="宋体" w:hAnsi="宋体" w:hint="eastAsia"/>
              </w:rPr>
              <w:t>:</w:t>
            </w:r>
          </w:p>
          <w:p w:rsidR="004017BC" w:rsidRDefault="00A30A8B"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状态显示</w:t>
            </w:r>
            <w:r>
              <w:rPr>
                <w:rFonts w:ascii="宋体" w:hAnsi="宋体" w:hint="eastAsia"/>
              </w:rPr>
              <w:t>:Standby (</w:t>
            </w:r>
            <w:r>
              <w:rPr>
                <w:rFonts w:ascii="宋体" w:hAnsi="宋体" w:hint="eastAsia"/>
              </w:rPr>
              <w:t>待机</w:t>
            </w:r>
            <w:r>
              <w:rPr>
                <w:rFonts w:ascii="宋体" w:hAnsi="宋体" w:hint="eastAsia"/>
              </w:rPr>
              <w:t>)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Operate (</w:t>
            </w:r>
            <w:r>
              <w:rPr>
                <w:rFonts w:ascii="宋体" w:hAnsi="宋体" w:hint="eastAsia"/>
              </w:rPr>
              <w:t>运作</w:t>
            </w:r>
            <w:r>
              <w:rPr>
                <w:rFonts w:ascii="宋体" w:hAnsi="宋体" w:hint="eastAsia"/>
              </w:rPr>
              <w:t>)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）水质显示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 w:hint="eastAsia"/>
              </w:rPr>
              <w:t>电阻率</w:t>
            </w: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 w:hint="eastAsia"/>
              </w:rPr>
              <w:t>温度补偿</w:t>
            </w:r>
            <w:r>
              <w:rPr>
                <w:rFonts w:ascii="宋体" w:hAnsi="宋体" w:hint="eastAsia"/>
              </w:rPr>
              <w:t>)</w:t>
            </w:r>
            <w:r>
              <w:rPr>
                <w:rFonts w:ascii="宋体" w:hAnsi="宋体" w:hint="eastAsia"/>
              </w:rPr>
              <w:t>、电阻率质</w:t>
            </w: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 w:hint="eastAsia"/>
              </w:rPr>
              <w:t>非温度补偿</w:t>
            </w:r>
            <w:r>
              <w:rPr>
                <w:rFonts w:ascii="宋体" w:hAnsi="宋体" w:hint="eastAsia"/>
              </w:rPr>
              <w:t>)</w:t>
            </w:r>
            <w:r>
              <w:rPr>
                <w:rFonts w:ascii="宋体" w:hAnsi="宋体" w:hint="eastAsia"/>
              </w:rPr>
              <w:t>、水温、可以选择电阻率</w:t>
            </w:r>
            <w:r>
              <w:rPr>
                <w:rFonts w:ascii="宋体" w:hAnsi="宋体" w:hint="eastAsia"/>
              </w:rPr>
              <w:t>(M</w:t>
            </w:r>
            <w:r>
              <w:rPr>
                <w:rFonts w:ascii="宋体" w:hAnsi="宋体" w:hint="eastAsia"/>
              </w:rPr>
              <w:sym w:font="Symbol" w:char="F057"/>
            </w:r>
            <w:r>
              <w:rPr>
                <w:rFonts w:ascii="宋体" w:hAnsi="宋体" w:hint="eastAsia"/>
              </w:rPr>
              <w:t>)</w:t>
            </w:r>
            <w:r>
              <w:rPr>
                <w:rFonts w:ascii="宋体" w:hAnsi="宋体" w:hint="eastAsia"/>
              </w:rPr>
              <w:t>或导电度</w:t>
            </w: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 w:hint="eastAsia"/>
              </w:rPr>
              <w:sym w:font="Symbol" w:char="F06D"/>
            </w:r>
            <w:r>
              <w:rPr>
                <w:rFonts w:ascii="宋体" w:hAnsi="宋体" w:hint="eastAsia"/>
              </w:rPr>
              <w:t>S)</w:t>
            </w:r>
            <w:r>
              <w:rPr>
                <w:rFonts w:ascii="宋体" w:hAnsi="宋体" w:hint="eastAsia"/>
              </w:rPr>
              <w:t>来显示。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c)</w:t>
            </w:r>
            <w:r>
              <w:rPr>
                <w:rFonts w:ascii="宋体" w:hAnsi="宋体" w:hint="eastAsia"/>
              </w:rPr>
              <w:t>耗材寿命显示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 w:hint="eastAsia"/>
              </w:rPr>
              <w:t>可显示耗材已使用时间。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d)</w:t>
            </w:r>
            <w:r>
              <w:rPr>
                <w:rFonts w:ascii="宋体" w:hAnsi="宋体" w:hint="eastAsia"/>
              </w:rPr>
              <w:t>系统提示及警示</w:t>
            </w:r>
            <w:r>
              <w:rPr>
                <w:rFonts w:ascii="宋体" w:hAnsi="宋体" w:hint="eastAsia"/>
              </w:rPr>
              <w:t>: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1)</w:t>
            </w:r>
            <w:r>
              <w:rPr>
                <w:rFonts w:ascii="宋体" w:hAnsi="宋体" w:hint="eastAsia"/>
              </w:rPr>
              <w:t>出水质小于设定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2) </w:t>
            </w:r>
            <w:r>
              <w:rPr>
                <w:rFonts w:ascii="宋体" w:hAnsi="宋体" w:hint="eastAsia"/>
              </w:rPr>
              <w:t>耗材寿命使用期限已到，系统提醒更换耗材</w:t>
            </w:r>
            <w:r>
              <w:rPr>
                <w:rFonts w:ascii="宋体" w:hAnsi="宋体" w:hint="eastAsia"/>
              </w:rPr>
              <w:t xml:space="preserve">     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3)</w:t>
            </w:r>
            <w:proofErr w:type="gramStart"/>
            <w:r>
              <w:rPr>
                <w:rFonts w:ascii="宋体" w:hAnsi="宋体" w:hint="eastAsia"/>
              </w:rPr>
              <w:t>耗材柱卡位</w:t>
            </w:r>
            <w:proofErr w:type="gramEnd"/>
            <w:r>
              <w:rPr>
                <w:rFonts w:ascii="宋体" w:hAnsi="宋体" w:hint="eastAsia"/>
              </w:rPr>
              <w:t>不正确</w:t>
            </w:r>
            <w:r>
              <w:rPr>
                <w:rFonts w:ascii="宋体" w:hAnsi="宋体" w:hint="eastAsia"/>
              </w:rPr>
              <w:t xml:space="preserve">    </w:t>
            </w:r>
          </w:p>
          <w:p w:rsidR="004017BC" w:rsidRDefault="00A30A8B">
            <w:pPr>
              <w:spacing w:line="500" w:lineRule="exact"/>
              <w:ind w:left="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4)</w:t>
            </w:r>
            <w:r>
              <w:rPr>
                <w:rFonts w:ascii="宋体" w:hAnsi="宋体" w:hint="eastAsia"/>
              </w:rPr>
              <w:t>内存发生错误</w:t>
            </w:r>
          </w:p>
          <w:p w:rsidR="004017BC" w:rsidRDefault="00A30A8B">
            <w:pPr>
              <w:pStyle w:val="a3"/>
              <w:numPr>
                <w:ilvl w:val="1"/>
                <w:numId w:val="1"/>
              </w:numPr>
              <w:tabs>
                <w:tab w:val="clear" w:pos="992"/>
                <w:tab w:val="left" w:pos="540"/>
              </w:tabs>
              <w:spacing w:line="360" w:lineRule="auto"/>
              <w:ind w:left="540" w:hanging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纯水</w:t>
            </w:r>
            <w:proofErr w:type="gramStart"/>
            <w:r>
              <w:rPr>
                <w:rFonts w:ascii="宋体" w:hAnsi="宋体" w:hint="eastAsia"/>
              </w:rPr>
              <w:t>柱采用</w:t>
            </w:r>
            <w:proofErr w:type="gramEnd"/>
            <w:r>
              <w:rPr>
                <w:rFonts w:ascii="宋体" w:hAnsi="宋体" w:hint="eastAsia"/>
              </w:rPr>
              <w:t>[</w:t>
            </w:r>
            <w:r>
              <w:rPr>
                <w:rFonts w:ascii="宋体" w:hAnsi="宋体" w:hint="eastAsia"/>
              </w:rPr>
              <w:t>免管壳</w:t>
            </w:r>
            <w:r>
              <w:rPr>
                <w:rFonts w:ascii="宋体" w:hAnsi="宋体" w:hint="eastAsia"/>
              </w:rPr>
              <w:t>]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[</w:t>
            </w:r>
            <w:r>
              <w:rPr>
                <w:rFonts w:ascii="宋体" w:hAnsi="宋体" w:hint="eastAsia"/>
              </w:rPr>
              <w:t>外插方式</w:t>
            </w:r>
            <w:r>
              <w:rPr>
                <w:rFonts w:ascii="宋体" w:hAnsi="宋体" w:hint="eastAsia"/>
              </w:rPr>
              <w:t>],</w:t>
            </w:r>
            <w:r>
              <w:rPr>
                <w:rFonts w:ascii="宋体" w:hAnsi="宋体" w:hint="eastAsia"/>
              </w:rPr>
              <w:t>无须任何螺丝之类，可在数秒内可轻松更换。</w:t>
            </w:r>
          </w:p>
          <w:tbl>
            <w:tblPr>
              <w:tblpPr w:leftFromText="180" w:rightFromText="180" w:vertAnchor="text" w:horzAnchor="page" w:tblpX="194" w:tblpY="1458"/>
              <w:tblOverlap w:val="never"/>
              <w:tblW w:w="7820" w:type="dxa"/>
              <w:tblLayout w:type="fixed"/>
              <w:tblLook w:val="04A0" w:firstRow="1" w:lastRow="0" w:firstColumn="1" w:lastColumn="0" w:noHBand="0" w:noVBand="1"/>
            </w:tblPr>
            <w:tblGrid>
              <w:gridCol w:w="4340"/>
              <w:gridCol w:w="3480"/>
            </w:tblGrid>
            <w:tr w:rsidR="004017BC">
              <w:trPr>
                <w:trHeight w:val="833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HPLC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梯度测试</w:t>
                  </w:r>
                </w:p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-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最高洗脱峰吸收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At 210 nm &lt; 0.006 AU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At 254 nm &lt; 0.002 AU(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洗脱前，流速为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1ml/min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时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60ml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水的浓度）</w:t>
                  </w:r>
                </w:p>
              </w:tc>
            </w:tr>
            <w:tr w:rsidR="004017BC">
              <w:trPr>
                <w:trHeight w:val="833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HPLC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梯度测试</w:t>
                  </w:r>
                </w:p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-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最高洗脱峰吸收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At 210 nm &lt; 0.003 AU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At 254 nm &lt; 0.001 AU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  <w:lang w:val="pt-BR"/>
                    </w:rPr>
                    <w:t>（无水的预浓缩）</w:t>
                  </w:r>
                </w:p>
              </w:tc>
            </w:tr>
            <w:tr w:rsidR="004017BC">
              <w:trPr>
                <w:trHeight w:val="1094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光学特性：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UV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光吸收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UV 200 nm &lt; 0.05 AU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UV 205 nm &lt; 0.01 AU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UV 210 nm &lt; 0.01 AU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UA 254 nm &lt; 0.005 AU</w:t>
                  </w:r>
                </w:p>
              </w:tc>
            </w:tr>
            <w:tr w:rsidR="004017BC">
              <w:trPr>
                <w:trHeight w:val="573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荧光（奎宁）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At 254 nm &lt; 1 ppb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At 365 nm &lt; 1 ppb</w:t>
                  </w:r>
                </w:p>
              </w:tc>
            </w:tr>
            <w:tr w:rsidR="004017BC">
              <w:trPr>
                <w:trHeight w:val="573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符合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LC/MS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适应性要求：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No peak higher than 10 ppb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br/>
                    <w:t>Reserpine at 609 m/z in ESI +</w:t>
                  </w:r>
                </w:p>
              </w:tc>
            </w:tr>
            <w:tr w:rsidR="004017BC">
              <w:trPr>
                <w:trHeight w:val="312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蒸发残留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&lt; 0.0001% w/w</w:t>
                  </w:r>
                </w:p>
              </w:tc>
            </w:tr>
            <w:tr w:rsidR="004017BC">
              <w:trPr>
                <w:trHeight w:val="312"/>
              </w:trPr>
              <w:tc>
                <w:tcPr>
                  <w:tcW w:w="434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TOC</w:t>
                  </w:r>
                </w:p>
              </w:tc>
              <w:tc>
                <w:tcPr>
                  <w:tcW w:w="3480" w:type="dxa"/>
                  <w:tcMar>
                    <w:top w:w="30" w:type="dxa"/>
                    <w:left w:w="90" w:type="dxa"/>
                    <w:bottom w:w="30" w:type="dxa"/>
                    <w:right w:w="90" w:type="dxa"/>
                  </w:tcMar>
                </w:tcPr>
                <w:p w:rsidR="004017BC" w:rsidRDefault="00A30A8B">
                  <w:pPr>
                    <w:rPr>
                      <w:rFonts w:ascii="宋体" w:hAnsi="宋体"/>
                      <w:color w:val="000000"/>
                      <w:szCs w:val="21"/>
                      <w:lang w:val="pt-BR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  <w:lang w:val="pt-BR"/>
                    </w:rPr>
                    <w:t>&lt; 1ppb</w:t>
                  </w:r>
                </w:p>
              </w:tc>
            </w:tr>
          </w:tbl>
          <w:p w:rsidR="004017BC" w:rsidRDefault="00A30A8B">
            <w:pPr>
              <w:spacing w:line="360" w:lineRule="auto"/>
              <w:ind w:firstLineChars="100" w:firstLine="21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 xml:space="preserve">9  </w:t>
            </w:r>
            <w:r>
              <w:rPr>
                <w:rFonts w:hint="eastAsia"/>
                <w:b/>
                <w:bCs/>
                <w:sz w:val="30"/>
                <w:szCs w:val="30"/>
              </w:rPr>
              <w:t>*</w:t>
            </w:r>
            <w:r>
              <w:rPr>
                <w:rFonts w:hAnsi="宋体" w:hint="eastAsia"/>
                <w:bCs/>
                <w:color w:val="000000"/>
                <w:szCs w:val="21"/>
              </w:rPr>
              <w:t>超纯水出水水质符合ISO3696，ASTM D1193，USP，EP以及CLSI-CLRW中I</w:t>
            </w:r>
            <w:proofErr w:type="gramStart"/>
            <w:r>
              <w:rPr>
                <w:rFonts w:hAnsi="宋体" w:hint="eastAsia"/>
                <w:bCs/>
                <w:color w:val="000000"/>
                <w:szCs w:val="21"/>
              </w:rPr>
              <w:t>级水的</w:t>
            </w:r>
            <w:proofErr w:type="gramEnd"/>
            <w:r>
              <w:rPr>
                <w:rFonts w:hAnsi="宋体" w:hint="eastAsia"/>
                <w:bCs/>
                <w:color w:val="000000"/>
                <w:szCs w:val="21"/>
              </w:rPr>
              <w:t>要求，外置专用去除有机物和去除环境激素污染物的过滤装置，使产出水达到以下有机物和环境激素污染物浓度要求，满足超高压液相及质谱仪用水要求</w:t>
            </w:r>
            <w:r>
              <w:rPr>
                <w:rFonts w:eastAsia="宋体" w:hAnsi="宋体" w:hint="eastAsia"/>
                <w:bCs/>
                <w:color w:val="000000"/>
                <w:szCs w:val="21"/>
              </w:rPr>
              <w:t>。</w:t>
            </w:r>
          </w:p>
          <w:p w:rsidR="004017BC" w:rsidRDefault="004017B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017BC" w:rsidRDefault="00A30A8B" w:rsidP="00A30A8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4017BC" w:rsidRDefault="004017B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401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C269C"/>
    <w:multiLevelType w:val="multilevel"/>
    <w:tmpl w:val="1F1C269C"/>
    <w:lvl w:ilvl="0">
      <w:start w:val="1"/>
      <w:numFmt w:val="none"/>
      <w:lvlText w:val="3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36256F58"/>
    <w:multiLevelType w:val="singleLevel"/>
    <w:tmpl w:val="36256F58"/>
    <w:lvl w:ilvl="0">
      <w:start w:val="1"/>
      <w:numFmt w:val="lowerLetter"/>
      <w:lvlText w:val="%1)"/>
      <w:lvlJc w:val="left"/>
      <w:pPr>
        <w:tabs>
          <w:tab w:val="left" w:pos="615"/>
        </w:tabs>
        <w:ind w:left="615" w:hanging="25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372BD"/>
    <w:rsid w:val="003412E6"/>
    <w:rsid w:val="004017BC"/>
    <w:rsid w:val="007C0E4C"/>
    <w:rsid w:val="0085369C"/>
    <w:rsid w:val="009917FC"/>
    <w:rsid w:val="00A30A8B"/>
    <w:rsid w:val="00F06A8F"/>
    <w:rsid w:val="41B7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A5E942-0FAF-4EB0-B66A-F9B33881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1518</Characters>
  <Application>Microsoft Office Word</Application>
  <DocSecurity>0</DocSecurity>
  <Lines>12</Lines>
  <Paragraphs>3</Paragraphs>
  <ScaleCrop>false</ScaleCrop>
  <Company>南京中医药大学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2018-09-05T07:41:00Z</dcterms:created>
  <dcterms:modified xsi:type="dcterms:W3CDTF">2018-11-09T07:19:00Z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