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/>
          <w:sz w:val="32"/>
          <w:szCs w:val="32"/>
        </w:rPr>
      </w:pPr>
      <w:r>
        <w:rPr>
          <w:rFonts w:hint="eastAsia" w:ascii="宋体" w:hAnsi="宋体" w:eastAsia="宋体"/>
          <w:sz w:val="32"/>
          <w:szCs w:val="32"/>
        </w:rPr>
        <w:t>仪器设备购置技术参数要求确认单</w:t>
      </w:r>
    </w:p>
    <w:tbl>
      <w:tblPr>
        <w:tblStyle w:val="4"/>
        <w:tblW w:w="1418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2325"/>
        <w:gridCol w:w="1350"/>
        <w:gridCol w:w="96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序号</w:t>
            </w:r>
          </w:p>
        </w:tc>
        <w:tc>
          <w:tcPr>
            <w:tcW w:w="2325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产品名称</w:t>
            </w:r>
          </w:p>
        </w:tc>
        <w:tc>
          <w:tcPr>
            <w:tcW w:w="1350" w:type="dxa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采购数量</w:t>
            </w:r>
          </w:p>
        </w:tc>
        <w:tc>
          <w:tcPr>
            <w:tcW w:w="9669" w:type="dxa"/>
            <w:vAlign w:val="center"/>
          </w:tcPr>
          <w:p>
            <w:pPr>
              <w:jc w:val="center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eastAsia="zh-CN"/>
              </w:rPr>
              <w:t>参数要求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针灸头部训练模型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66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1.模拟成年男性的上半身，该人身高为172cm，体重63kg，头围55cm；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2.具有与人体上半身相同的皮肤手感；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3.模型上标记有20个常用穴位，如百会，四神聪，太阳，风池，头维，率谷，翳风，颊车，下关，地仓，四白，睛明，攒竹，鱼腰，耳门，听宫，听会，水沟，头临泣，印堂；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4.可以进行多种针刺方法的训练，针刺手感真实；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5.头部上的穴位标记常见光下不可见，需要使用配备的专用光源的照射下方可显现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针灸臀部训练模型</w:t>
            </w:r>
          </w:p>
        </w:tc>
        <w:tc>
          <w:tcPr>
            <w:tcW w:w="1350" w:type="dxa"/>
          </w:tcPr>
          <w:p>
            <w:pPr>
              <w:rPr>
                <w:rFonts w:hint="default" w:ascii="宋体" w:hAnsi="宋体" w:eastAsia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669" w:type="dxa"/>
            <w:vAlign w:val="center"/>
          </w:tcPr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1.模拟成年男性的下半身，该人身高172cm，体重63kg，臀围98cm；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2.具有与人体下半身相同的皮肤手感；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3.模型上标记有20个常用穴位，如环跳、长强、会阳、神阙、关元、气海、天枢、归来、大横、承扶、居髎、维道、五枢、带脉、腰阳关、大肠俞、小肠俞、膀胱俞、秩边、次髎；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4.可以进行多种针刺方法的训练，针刺手感真实；</w:t>
            </w:r>
          </w:p>
          <w:p>
            <w:pPr>
              <w:pStyle w:val="7"/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contextualSpacing/>
              <w:jc w:val="left"/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5.臀部上的穴位标记常见光下不可见，需要使用配备的专用光源的照射下方可显现</w:t>
            </w:r>
          </w:p>
          <w:p>
            <w:pPr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color w:val="auto"/>
                <w:positio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针刺训练手臂模型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lang w:val="en-US" w:eastAsia="zh-CN"/>
              </w:rPr>
              <w:t>4台</w:t>
            </w:r>
          </w:p>
        </w:tc>
        <w:tc>
          <w:tcPr>
            <w:tcW w:w="9669" w:type="dxa"/>
            <w:vAlign w:val="center"/>
          </w:tcPr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1.模拟成人手臂外观，解剖结构准确，手臂外皮采用高仿真性材质制作，有皮肤纹理，触之柔软，手感真实；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2.解剖结构包括尺骨、桡骨、尺骨鹰嘴等；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3.可进行40个上肢常用穴（如合谷、曲池、列缺及上肢五腧穴等穴位）的定位、针刺示教、练习及考核；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4.可以进行多种针刺方法的训练，针刺手感真实；</w:t>
            </w:r>
          </w:p>
          <w:p>
            <w:pPr>
              <w:numPr>
                <w:ilvl w:val="0"/>
                <w:numId w:val="0"/>
              </w:numPr>
              <w:autoSpaceDE/>
              <w:autoSpaceDN/>
              <w:spacing w:before="0" w:after="0" w:line="240" w:lineRule="auto"/>
              <w:ind w:right="0" w:firstLine="0"/>
              <w:jc w:val="both"/>
              <w:rPr>
                <w:rFonts w:hint="default" w:ascii="宋体" w:hAnsi="宋体" w:eastAsia="宋体"/>
                <w:color w:val="auto"/>
                <w:position w:val="0"/>
                <w:sz w:val="28"/>
                <w:szCs w:val="28"/>
              </w:rPr>
            </w:pPr>
            <w:r>
              <w:rPr>
                <w:rFonts w:hint="default" w:ascii="Calibri" w:hAnsi="宋体" w:eastAsia="宋体"/>
                <w:color w:val="auto"/>
                <w:position w:val="0"/>
                <w:sz w:val="21"/>
                <w:szCs w:val="21"/>
              </w:rPr>
              <w:t>5.手臂上的穴位标记常见光下不可见，需要使用配备的专用光源的照射下方可显现。</w:t>
            </w:r>
          </w:p>
          <w:p>
            <w:pPr>
              <w:pStyle w:val="6"/>
              <w:numPr>
                <w:ilvl w:val="0"/>
                <w:numId w:val="0"/>
              </w:numPr>
              <w:ind w:leftChars="0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37" w:type="dxa"/>
          </w:tcPr>
          <w:p>
            <w:pPr>
              <w:jc w:val="center"/>
              <w:rPr>
                <w:rFonts w:hint="default" w:ascii="宋体" w:hAnsi="宋体" w:eastAsia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325" w:type="dxa"/>
          </w:tcPr>
          <w:p>
            <w:pPr>
              <w:rPr>
                <w:rFonts w:hint="eastAsia" w:ascii="宋体" w:hAnsi="宋体" w:eastAsia="宋体"/>
                <w:color w:val="auto"/>
                <w:position w:val="0"/>
                <w:sz w:val="22"/>
                <w:szCs w:val="22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2"/>
                <w:szCs w:val="22"/>
              </w:rPr>
              <w:t>针刺训练模块</w:t>
            </w:r>
          </w:p>
        </w:tc>
        <w:tc>
          <w:tcPr>
            <w:tcW w:w="1350" w:type="dxa"/>
          </w:tcPr>
          <w:p>
            <w:pPr>
              <w:rPr>
                <w:rFonts w:hint="eastAsia" w:ascii="宋体" w:hAnsi="宋体" w:eastAsia="宋体"/>
                <w:sz w:val="24"/>
                <w:szCs w:val="24"/>
                <w:lang w:eastAsia="zh-CN"/>
              </w:rPr>
            </w:pPr>
            <w:r>
              <w:rPr>
                <w:rFonts w:hint="default" w:ascii="宋体" w:hAnsi="宋体" w:eastAsia="宋体"/>
                <w:color w:val="auto"/>
                <w:position w:val="0"/>
                <w:sz w:val="24"/>
                <w:szCs w:val="24"/>
              </w:rPr>
              <w:t>8台</w:t>
            </w:r>
          </w:p>
        </w:tc>
        <w:tc>
          <w:tcPr>
            <w:tcW w:w="9669" w:type="dxa"/>
            <w:vAlign w:val="center"/>
          </w:tcPr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解剖层次清晰，有皮肤、皮下组织、肌肉及骨组织结构；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外观设计逼真，有皮肤纹理，操作面模拟人体体表弧度，外形、柔韧度及操作手感具有传统练针垫如纸垫、棉花垫等所没有的临床真实感；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可进行多种进针法如单手进针、双手进针、指切进针、夹持进针的示教和练习，传统练针垫不能进行训练和演示的手法如舒张进针、提捏进针及针管进针等，都可以在该仿真模块上实现，而且进针有真实的进针突破感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可进行多种行针法的示教和练习，如提插法、捻转法、各种辅助手法（循法、弹法、刮法、摇法等）及补泻手法的练习，行针时针下有明显的针下得气沉紧感；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结构简单，便于卸装，有轻便稳固的高分子材料底座，保持操作的稳定性，便于示教和练习；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产品尺寸：170*100*50mm</w:t>
            </w:r>
          </w:p>
          <w:p>
            <w:pPr>
              <w:pStyle w:val="2"/>
              <w:numPr>
                <w:ilvl w:val="0"/>
                <w:numId w:val="1"/>
              </w:numPr>
              <w:wordWrap w:val="0"/>
              <w:bidi w:val="0"/>
              <w:spacing w:before="0" w:after="160" w:line="240" w:lineRule="auto"/>
              <w:ind w:left="360" w:right="0" w:hanging="360"/>
              <w:jc w:val="both"/>
              <w:rPr>
                <w:rFonts w:hint="eastAsia" w:ascii="宋体" w:hAnsi="宋体" w:eastAsia="宋体"/>
                <w:sz w:val="28"/>
                <w:szCs w:val="28"/>
                <w:lang w:eastAsia="zh-CN"/>
              </w:rPr>
            </w:pPr>
            <w:r>
              <w:rPr>
                <w:rFonts w:hint="default" w:ascii="宋体" w:hAnsi="宋体" w:eastAsia="宋体"/>
                <w:color w:val="000000"/>
                <w:position w:val="0"/>
                <w:sz w:val="21"/>
                <w:szCs w:val="21"/>
              </w:rPr>
              <w:t>产品重量：0.3kg</w:t>
            </w:r>
          </w:p>
        </w:tc>
      </w:tr>
    </w:tbl>
    <w:p>
      <w:pPr>
        <w:rPr>
          <w:rFonts w:hint="eastAsia" w:ascii="宋体" w:hAnsi="宋体" w:eastAsia="宋体"/>
          <w:sz w:val="32"/>
          <w:szCs w:val="32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000000"/>
    <w:multiLevelType w:val="multilevel"/>
    <w:tmpl w:val="2F000000"/>
    <w:lvl w:ilvl="0" w:tentative="0">
      <w:start w:val="1"/>
      <w:numFmt w:val="decimal"/>
      <w:lvlText w:val="%1."/>
      <w:lvlJc w:val="left"/>
      <w:pPr>
        <w:ind w:left="360" w:hanging="360"/>
        <w:jc w:val="both"/>
      </w:pPr>
      <w:rPr>
        <w:rFonts w:ascii="Calibri" w:hAnsi="Calibri" w:eastAsia="宋体"/>
        <w:w w:val="100"/>
        <w:sz w:val="21"/>
        <w:szCs w:val="21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2" w:tentative="0">
      <w:start w:val="1"/>
      <w:numFmt w:val="lowerRoman"/>
      <w:lvlText w:val="%3."/>
      <w:lvlJc w:val="right"/>
      <w:pPr>
        <w:ind w:left="126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3" w:tentative="0">
      <w:start w:val="1"/>
      <w:numFmt w:val="decimal"/>
      <w:lvlText w:val="%4."/>
      <w:lvlJc w:val="left"/>
      <w:pPr>
        <w:ind w:left="168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4" w:tentative="0">
      <w:start w:val="1"/>
      <w:numFmt w:val="lowerLetter"/>
      <w:lvlText w:val="%5)"/>
      <w:lvlJc w:val="left"/>
      <w:pPr>
        <w:ind w:left="210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5" w:tentative="0">
      <w:start w:val="1"/>
      <w:numFmt w:val="lowerRoman"/>
      <w:lvlText w:val="%6."/>
      <w:lvlJc w:val="right"/>
      <w:pPr>
        <w:ind w:left="252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6" w:tentative="0">
      <w:start w:val="1"/>
      <w:numFmt w:val="decimal"/>
      <w:lvlText w:val="%7."/>
      <w:lvlJc w:val="left"/>
      <w:pPr>
        <w:ind w:left="294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7" w:tentative="0">
      <w:start w:val="1"/>
      <w:numFmt w:val="lowerLetter"/>
      <w:lvlText w:val="%8)"/>
      <w:lvlJc w:val="left"/>
      <w:pPr>
        <w:ind w:left="3360" w:hanging="420"/>
        <w:jc w:val="both"/>
      </w:pPr>
      <w:rPr>
        <w:rFonts w:ascii="宋体" w:hAnsi="宋体" w:eastAsia="宋体"/>
        <w:w w:val="100"/>
        <w:sz w:val="20"/>
        <w:szCs w:val="20"/>
      </w:rPr>
    </w:lvl>
    <w:lvl w:ilvl="8" w:tentative="0">
      <w:start w:val="1"/>
      <w:numFmt w:val="lowerRoman"/>
      <w:lvlText w:val="%9."/>
      <w:lvlJc w:val="right"/>
      <w:pPr>
        <w:ind w:left="3780" w:hanging="420"/>
        <w:jc w:val="both"/>
      </w:pPr>
      <w:rPr>
        <w:rFonts w:ascii="宋体" w:hAnsi="宋体" w:eastAsia="宋体"/>
        <w:w w:val="100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C81333"/>
    <w:rsid w:val="16CE27E6"/>
    <w:rsid w:val="2B196039"/>
    <w:rsid w:val="302F16A1"/>
    <w:rsid w:val="32C06EFE"/>
    <w:rsid w:val="407D4955"/>
    <w:rsid w:val="6041499C"/>
    <w:rsid w:val="63F571AA"/>
    <w:rsid w:val="67C8133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152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semiHidden/>
    <w:unhideWhenUsed/>
    <w:qFormat/>
    <w:uiPriority w:val="152"/>
    <w:pPr>
      <w:widowControl/>
      <w:tabs>
        <w:tab w:val="center" w:pos="4153"/>
        <w:tab w:val="right" w:pos="8306"/>
      </w:tabs>
      <w:wordWrap/>
      <w:autoSpaceDE/>
      <w:autoSpaceDN/>
      <w:jc w:val="center"/>
    </w:pPr>
    <w:rPr>
      <w:w w:val="100"/>
      <w:sz w:val="18"/>
      <w:szCs w:val="18"/>
      <w:shd w:val="clear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List Paragraph"/>
    <w:basedOn w:val="1"/>
    <w:qFormat/>
    <w:uiPriority w:val="34"/>
    <w:pPr>
      <w:ind w:firstLine="420" w:firstLineChars="200"/>
    </w:pPr>
  </w:style>
  <w:style w:type="paragraph" w:customStyle="1" w:styleId="7">
    <w:name w:val="列出段落1"/>
    <w:basedOn w:val="1"/>
    <w:qFormat/>
    <w:uiPriority w:val="156"/>
    <w:pPr>
      <w:widowControl/>
      <w:wordWrap/>
      <w:autoSpaceDE/>
      <w:autoSpaceDN/>
      <w:ind w:left="720" w:firstLine="0"/>
    </w:pPr>
    <w:rPr>
      <w:rFonts w:ascii="Calibri" w:hAnsi="Calibri" w:eastAsia="Times New Roman"/>
      <w:w w:val="100"/>
      <w:sz w:val="24"/>
      <w:szCs w:val="24"/>
      <w:shd w:val="cle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Office_11.1.0.9145_F1E327BC-269C-435d-A152-05C5408002CA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2019-10-28T08:43:00Z</dcterms:created>
  <dc:creator>廖佳</dc:creator>
  <cp:lastModifiedBy>廖佳</cp:lastModifiedBy>
  <dcterms:modified xsi:type="dcterms:W3CDTF">2019-11-06T08:40:42Z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2052-11.1.0.9145</vt:lpwstr>
  </property>
</Properties>
</file>