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32"/>
          <w:szCs w:val="32"/>
        </w:rPr>
      </w:pPr>
    </w:p>
    <w:p>
      <w:pPr>
        <w:jc w:val="center"/>
        <w:rPr>
          <w:rFonts w:ascii="宋体" w:hAnsi="宋体" w:eastAsia="宋体"/>
          <w:sz w:val="32"/>
          <w:szCs w:val="32"/>
        </w:rPr>
      </w:pPr>
      <w:r>
        <w:rPr>
          <w:rFonts w:hint="eastAsia" w:ascii="宋体" w:hAnsi="宋体" w:eastAsia="宋体"/>
          <w:sz w:val="32"/>
          <w:szCs w:val="32"/>
        </w:rPr>
        <w:t>仪器设备购置技术参数要求确认单</w:t>
      </w:r>
    </w:p>
    <w:tbl>
      <w:tblPr>
        <w:tblStyle w:val="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850"/>
        <w:gridCol w:w="1644"/>
        <w:gridCol w:w="1617"/>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宋体" w:hAnsi="宋体" w:eastAsia="宋体"/>
                <w:sz w:val="28"/>
                <w:szCs w:val="28"/>
              </w:rPr>
            </w:pPr>
            <w:r>
              <w:rPr>
                <w:rFonts w:hint="eastAsia" w:ascii="宋体" w:hAnsi="宋体" w:eastAsia="宋体"/>
                <w:sz w:val="28"/>
                <w:szCs w:val="28"/>
              </w:rPr>
              <w:t>产品名称</w:t>
            </w:r>
          </w:p>
        </w:tc>
        <w:tc>
          <w:tcPr>
            <w:tcW w:w="2494" w:type="dxa"/>
            <w:gridSpan w:val="2"/>
          </w:tcPr>
          <w:p>
            <w:pPr>
              <w:rPr>
                <w:rFonts w:ascii="宋体" w:hAnsi="宋体" w:eastAsia="宋体"/>
                <w:sz w:val="28"/>
                <w:szCs w:val="28"/>
              </w:rPr>
            </w:pPr>
            <w:r>
              <w:rPr>
                <w:rFonts w:hint="eastAsia" w:ascii="宋体" w:hAnsi="宋体" w:eastAsia="宋体"/>
                <w:sz w:val="28"/>
                <w:szCs w:val="28"/>
              </w:rPr>
              <w:t>人工智能实验平台</w:t>
            </w:r>
          </w:p>
        </w:tc>
        <w:tc>
          <w:tcPr>
            <w:tcW w:w="1617" w:type="dxa"/>
          </w:tcPr>
          <w:p>
            <w:pPr>
              <w:rPr>
                <w:rFonts w:ascii="宋体" w:hAnsi="宋体" w:eastAsia="宋体"/>
                <w:sz w:val="28"/>
                <w:szCs w:val="28"/>
              </w:rPr>
            </w:pPr>
            <w:r>
              <w:rPr>
                <w:rFonts w:hint="eastAsia" w:ascii="宋体" w:hAnsi="宋体" w:eastAsia="宋体"/>
                <w:sz w:val="28"/>
                <w:szCs w:val="28"/>
              </w:rPr>
              <w:t>申购信息</w:t>
            </w:r>
          </w:p>
        </w:tc>
        <w:tc>
          <w:tcPr>
            <w:tcW w:w="2205"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宋体" w:hAnsi="宋体" w:eastAsia="宋体"/>
                <w:sz w:val="28"/>
                <w:szCs w:val="28"/>
              </w:rPr>
            </w:pPr>
            <w:r>
              <w:rPr>
                <w:rFonts w:hint="eastAsia" w:ascii="宋体" w:hAnsi="宋体" w:eastAsia="宋体"/>
                <w:sz w:val="28"/>
                <w:szCs w:val="28"/>
              </w:rPr>
              <w:t>联系人</w:t>
            </w:r>
          </w:p>
        </w:tc>
        <w:tc>
          <w:tcPr>
            <w:tcW w:w="2494" w:type="dxa"/>
            <w:gridSpan w:val="2"/>
          </w:tcPr>
          <w:p>
            <w:pPr>
              <w:rPr>
                <w:rFonts w:hint="eastAsia" w:ascii="宋体" w:hAnsi="宋体" w:eastAsia="宋体"/>
                <w:sz w:val="28"/>
                <w:szCs w:val="28"/>
              </w:rPr>
            </w:pPr>
          </w:p>
        </w:tc>
        <w:tc>
          <w:tcPr>
            <w:tcW w:w="1617" w:type="dxa"/>
          </w:tcPr>
          <w:p>
            <w:pPr>
              <w:rPr>
                <w:rFonts w:ascii="宋体" w:hAnsi="宋体" w:eastAsia="宋体"/>
                <w:sz w:val="28"/>
                <w:szCs w:val="28"/>
              </w:rPr>
            </w:pPr>
          </w:p>
        </w:tc>
        <w:tc>
          <w:tcPr>
            <w:tcW w:w="2205"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gridSpan w:val="2"/>
          </w:tcPr>
          <w:p>
            <w:pPr>
              <w:rPr>
                <w:rFonts w:ascii="宋体" w:hAnsi="宋体" w:eastAsia="宋体"/>
                <w:sz w:val="28"/>
                <w:szCs w:val="28"/>
              </w:rPr>
            </w:pPr>
            <w:r>
              <w:rPr>
                <w:rFonts w:hint="eastAsia" w:ascii="宋体" w:hAnsi="宋体" w:eastAsia="宋体"/>
                <w:sz w:val="28"/>
                <w:szCs w:val="28"/>
              </w:rPr>
              <w:t>参考品牌型号(选填)</w:t>
            </w:r>
          </w:p>
        </w:tc>
        <w:tc>
          <w:tcPr>
            <w:tcW w:w="5466" w:type="dxa"/>
            <w:gridSpan w:val="3"/>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1" w:hRule="atLeast"/>
        </w:trPr>
        <w:tc>
          <w:tcPr>
            <w:tcW w:w="8296" w:type="dxa"/>
            <w:gridSpan w:val="5"/>
          </w:tcPr>
          <w:p>
            <w:pPr>
              <w:rPr>
                <w:rFonts w:hint="eastAsia" w:ascii="宋体" w:hAnsi="宋体" w:eastAsia="宋体"/>
                <w:sz w:val="28"/>
                <w:szCs w:val="28"/>
              </w:rPr>
            </w:pPr>
            <w:r>
              <w:rPr>
                <w:rFonts w:hint="eastAsia" w:ascii="宋体" w:hAnsi="宋体" w:eastAsia="宋体"/>
                <w:sz w:val="28"/>
                <w:szCs w:val="28"/>
              </w:rPr>
              <w:t>主要用途描述：</w:t>
            </w:r>
          </w:p>
          <w:p>
            <w:pPr>
              <w:ind w:firstLine="560" w:firstLineChars="200"/>
              <w:rPr>
                <w:rFonts w:hint="eastAsia" w:ascii="宋体" w:hAnsi="宋体" w:eastAsia="宋体" w:cs="Arial"/>
                <w:sz w:val="28"/>
                <w:szCs w:val="28"/>
              </w:rPr>
            </w:pPr>
            <w:r>
              <w:rPr>
                <w:rFonts w:ascii="宋体" w:hAnsi="宋体" w:eastAsia="宋体" w:cs="Arial"/>
                <w:sz w:val="28"/>
                <w:szCs w:val="28"/>
              </w:rPr>
              <w:t>人工智能的人才培养需要建设专门的人工</w:t>
            </w:r>
            <w:r>
              <w:rPr>
                <w:rFonts w:hint="eastAsia" w:ascii="宋体" w:hAnsi="宋体" w:eastAsia="宋体" w:cs="Arial"/>
                <w:sz w:val="28"/>
                <w:szCs w:val="28"/>
              </w:rPr>
              <w:t>智</w:t>
            </w:r>
            <w:r>
              <w:rPr>
                <w:rFonts w:ascii="宋体" w:hAnsi="宋体" w:eastAsia="宋体" w:cs="Arial"/>
                <w:sz w:val="28"/>
                <w:szCs w:val="28"/>
              </w:rPr>
              <w:t>能实验室。人工智能类专业知识为典型的工程应用技术，在人才培养过程中对实践教学的要求髙，需要通过实验、实训、实战来加深知识理解和提高知识实际应用能力，人工智能应用领域涉及到很多方面（如机器学习、深度学习和计算机视觉、听觉、自然言语理解、脑科学等），这些方面的应用都无法在现有的实验条件下完成，因此，必须建设专门的人工智能实验室。</w:t>
            </w:r>
          </w:p>
          <w:p>
            <w:pPr>
              <w:rPr>
                <w:rFonts w:ascii="宋体" w:hAnsi="宋体" w:eastAsia="宋体"/>
                <w:sz w:val="28"/>
                <w:szCs w:val="28"/>
              </w:rPr>
            </w:pPr>
            <w:r>
              <w:rPr>
                <w:rFonts w:hint="eastAsia" w:ascii="宋体" w:hAnsi="宋体" w:eastAsia="宋体" w:cs="Arial"/>
                <w:sz w:val="28"/>
                <w:szCs w:val="28"/>
              </w:rPr>
              <w:t xml:space="preserve">     我院新开设的课程云计算概论、机器学习方法、大数据分析与挖掘、云计算高级应用、分布式数据库系统与应用；这些课程的实验环节只能在人工智能实验平台完成。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1" w:hRule="atLeast"/>
        </w:trPr>
        <w:tc>
          <w:tcPr>
            <w:tcW w:w="8296" w:type="dxa"/>
            <w:gridSpan w:val="5"/>
          </w:tcPr>
          <w:p>
            <w:pPr>
              <w:rPr>
                <w:rFonts w:ascii="宋体" w:hAnsi="宋体" w:eastAsia="宋体"/>
                <w:sz w:val="28"/>
                <w:szCs w:val="28"/>
              </w:rPr>
            </w:pPr>
            <w:r>
              <w:rPr>
                <w:rFonts w:hint="eastAsia" w:ascii="宋体" w:hAnsi="宋体" w:eastAsia="宋体"/>
                <w:sz w:val="28"/>
                <w:szCs w:val="28"/>
              </w:rPr>
              <w:t>参数要求：</w:t>
            </w:r>
          </w:p>
          <w:p>
            <w:pPr>
              <w:pStyle w:val="5"/>
              <w:numPr>
                <w:ilvl w:val="0"/>
                <w:numId w:val="1"/>
              </w:numPr>
              <w:ind w:firstLineChars="0"/>
              <w:rPr>
                <w:rFonts w:hint="eastAsia" w:ascii="宋体" w:hAnsi="宋体" w:eastAsia="宋体" w:cs="Arial"/>
                <w:sz w:val="28"/>
                <w:szCs w:val="28"/>
              </w:rPr>
            </w:pPr>
            <w:r>
              <w:rPr>
                <w:rFonts w:hint="eastAsia" w:ascii="宋体" w:hAnsi="宋体" w:eastAsia="宋体" w:cs="Arial"/>
                <w:sz w:val="28"/>
                <w:szCs w:val="28"/>
              </w:rPr>
              <w:t>人工智能实验室管理系统</w:t>
            </w:r>
          </w:p>
          <w:p>
            <w:pPr>
              <w:ind w:firstLine="560" w:firstLineChars="200"/>
              <w:rPr>
                <w:rFonts w:ascii="宋体" w:hAnsi="宋体" w:eastAsia="宋体" w:cs="Arial"/>
                <w:sz w:val="28"/>
                <w:szCs w:val="28"/>
              </w:rPr>
            </w:pPr>
            <w:r>
              <w:rPr>
                <w:rFonts w:hint="eastAsia" w:ascii="宋体" w:hAnsi="宋体" w:eastAsia="宋体" w:cs="Arial"/>
                <w:sz w:val="28"/>
                <w:szCs w:val="28"/>
              </w:rPr>
              <w:t>人工智能实验管理平台须满足教学当中的验证性实验、设计型实验、课程设计等三类实验。要求实验管理系统底层采用容器（Docker）技术并且支持在异构的硬件服务器环境下的资源整合。</w:t>
            </w:r>
          </w:p>
          <w:p>
            <w:pPr>
              <w:ind w:firstLine="560" w:firstLineChars="200"/>
              <w:rPr>
                <w:rFonts w:ascii="宋体" w:hAnsi="宋体" w:eastAsia="宋体" w:cs="Arial"/>
                <w:sz w:val="28"/>
                <w:szCs w:val="28"/>
              </w:rPr>
            </w:pPr>
            <w:r>
              <w:rPr>
                <w:rFonts w:hint="eastAsia" w:ascii="宋体" w:hAnsi="宋体" w:eastAsia="宋体" w:cs="Arial"/>
                <w:sz w:val="28"/>
                <w:szCs w:val="28"/>
              </w:rPr>
              <w:t>为了使平台具有强大的兼用性，平台软件须采用B/S架构。并且支持4种不同的权限功能。其中管理员角色核心功能是实现对所有硬件、所有软件资源、所有成员的管理；科研角色核心功能是实现对科研课题创建于应用功能；教师角色核心功能是对课程以及课程资源管理，班级学生管理；学生角色核心功能支持不同底层系统环境下的学习、考试、撰写提交实验报告等功能。</w:t>
            </w:r>
          </w:p>
          <w:p>
            <w:pPr>
              <w:pStyle w:val="5"/>
              <w:numPr>
                <w:ilvl w:val="0"/>
                <w:numId w:val="1"/>
              </w:numPr>
              <w:ind w:firstLineChars="0"/>
              <w:rPr>
                <w:rFonts w:hint="eastAsia" w:ascii="宋体" w:hAnsi="宋体" w:eastAsia="宋体" w:cs="Arial"/>
                <w:sz w:val="28"/>
                <w:szCs w:val="28"/>
              </w:rPr>
            </w:pPr>
            <w:r>
              <w:rPr>
                <w:rFonts w:hint="eastAsia" w:ascii="宋体" w:hAnsi="宋体" w:eastAsia="宋体" w:cs="Arial"/>
                <w:sz w:val="28"/>
                <w:szCs w:val="28"/>
              </w:rPr>
              <w:t>云计算管理系统</w:t>
            </w:r>
          </w:p>
          <w:p>
            <w:pPr>
              <w:ind w:firstLine="560" w:firstLineChars="200"/>
              <w:rPr>
                <w:rFonts w:ascii="宋体" w:hAnsi="宋体" w:eastAsia="宋体" w:cs="Arial"/>
                <w:sz w:val="28"/>
                <w:szCs w:val="28"/>
              </w:rPr>
            </w:pPr>
            <w:r>
              <w:rPr>
                <w:rFonts w:hint="eastAsia" w:ascii="宋体" w:hAnsi="宋体" w:eastAsia="宋体" w:cs="Arial"/>
                <w:sz w:val="28"/>
                <w:szCs w:val="28"/>
              </w:rPr>
              <w:t>云计算管理系统以Docker为基础，以教学应用为导向，以安全稳定为目标，打造专业、简单、易用的教学容器云解决方案。通过对硬件设施进行虚拟化处理，形成虚拟层面的资源池系统，该资源池系统可按需为每一套应用系统提供基础 IT 资源，适应不断变化的业务需求，实现“弹性”资源分配能力。通过统一的 Web 界面，可实现对整个数据中心集中管理。</w:t>
            </w:r>
          </w:p>
          <w:p>
            <w:pPr>
              <w:pStyle w:val="5"/>
              <w:numPr>
                <w:ilvl w:val="0"/>
                <w:numId w:val="1"/>
              </w:numPr>
              <w:ind w:firstLineChars="0"/>
              <w:rPr>
                <w:rFonts w:hint="eastAsia" w:ascii="宋体" w:hAnsi="宋体" w:eastAsia="宋体" w:cs="Arial"/>
                <w:sz w:val="28"/>
                <w:szCs w:val="28"/>
              </w:rPr>
            </w:pPr>
            <w:r>
              <w:rPr>
                <w:rFonts w:hint="eastAsia" w:ascii="宋体" w:hAnsi="宋体" w:eastAsia="宋体" w:cs="Arial"/>
                <w:sz w:val="28"/>
                <w:szCs w:val="28"/>
              </w:rPr>
              <w:t>人工智能实验课程系统</w:t>
            </w:r>
          </w:p>
          <w:p>
            <w:pPr>
              <w:ind w:firstLine="560" w:firstLineChars="200"/>
              <w:rPr>
                <w:rFonts w:ascii="宋体" w:hAnsi="宋体" w:eastAsia="宋体" w:cs="Arial"/>
                <w:sz w:val="28"/>
                <w:szCs w:val="28"/>
              </w:rPr>
            </w:pPr>
            <w:r>
              <w:rPr>
                <w:rFonts w:hint="eastAsia" w:ascii="宋体" w:hAnsi="宋体" w:eastAsia="宋体" w:cs="Arial"/>
                <w:sz w:val="28"/>
                <w:szCs w:val="28"/>
              </w:rPr>
              <w:t>课程系统必须提供包含基础实验课程、理论视频课程和行业应用案例三种类型的课程。课程必须包含基于18类人工智能技术的相关实验内容，涵盖Hadoop、HDFS、MapReduce、YARN、Hive、Sqoop、Azkaban、ZooKeeper、HBase、Storm、Kafka、Scala、Spark、Spark SQL、Spark Streaming、MLlib、Graphx、</w:t>
            </w:r>
            <w:r>
              <w:rPr>
                <w:rFonts w:ascii="宋体" w:hAnsi="宋体" w:eastAsia="宋体" w:cs="Arial"/>
                <w:sz w:val="28"/>
                <w:szCs w:val="28"/>
              </w:rPr>
              <w:t>docker</w:t>
            </w:r>
            <w:r>
              <w:rPr>
                <w:rFonts w:hint="eastAsia" w:ascii="宋体" w:hAnsi="宋体" w:eastAsia="宋体" w:cs="Arial"/>
                <w:sz w:val="28"/>
                <w:szCs w:val="28"/>
              </w:rPr>
              <w:t>等技术的相关实验。</w:t>
            </w:r>
          </w:p>
          <w:p>
            <w:pPr>
              <w:ind w:firstLine="560" w:firstLineChars="200"/>
              <w:rPr>
                <w:rFonts w:ascii="宋体" w:hAnsi="宋体" w:eastAsia="宋体" w:cs="Arial"/>
                <w:sz w:val="28"/>
                <w:szCs w:val="28"/>
              </w:rPr>
            </w:pPr>
            <w:r>
              <w:rPr>
                <w:rFonts w:hint="eastAsia" w:ascii="宋体" w:hAnsi="宋体" w:eastAsia="宋体" w:cs="Arial"/>
                <w:sz w:val="28"/>
                <w:szCs w:val="28"/>
              </w:rPr>
              <w:t>基础实验课程16门，需要提供教学用配套PPT；需要配套提供基础实验视频，涵盖基本理论、原理验证、综合应用、自主设计及创新的多层次实验内容；需要提供教学配套题库资源，内容包括作业题、考试题等；每个大数据实验都必须配有相应的实验手册，每个手册必须呈现详细的实验流程指导，包括实验描述、实验环境、相关技能、相关知识点、实现效果、实验步骤、参考答案或总结。</w:t>
            </w:r>
          </w:p>
          <w:p>
            <w:pPr>
              <w:ind w:firstLine="560" w:firstLineChars="200"/>
              <w:rPr>
                <w:rFonts w:hint="eastAsia" w:ascii="宋体" w:hAnsi="宋体" w:eastAsia="宋体" w:cs="Arial"/>
                <w:sz w:val="28"/>
                <w:szCs w:val="28"/>
              </w:rPr>
            </w:pPr>
            <w:r>
              <w:rPr>
                <w:rFonts w:hint="eastAsia" w:ascii="宋体" w:hAnsi="宋体" w:eastAsia="宋体" w:cs="Arial"/>
                <w:sz w:val="28"/>
                <w:szCs w:val="28"/>
              </w:rPr>
              <w:t>行业应用案例课程4门，需要提供项目</w:t>
            </w:r>
            <w:bookmarkStart w:id="0" w:name="_GoBack"/>
            <w:bookmarkEnd w:id="0"/>
            <w:r>
              <w:rPr>
                <w:rFonts w:hint="eastAsia" w:ascii="宋体" w:hAnsi="宋体" w:eastAsia="宋体" w:cs="Arial"/>
                <w:sz w:val="28"/>
                <w:szCs w:val="28"/>
              </w:rPr>
              <w:t>数据、实验手册。</w:t>
            </w:r>
          </w:p>
          <w:p>
            <w:pPr>
              <w:ind w:firstLine="562" w:firstLineChars="200"/>
              <w:rPr>
                <w:rFonts w:hint="eastAsia" w:ascii="宋体" w:hAnsi="宋体" w:eastAsia="宋体" w:cs="Arial"/>
                <w:b/>
                <w:bCs/>
                <w:color w:val="FF0000"/>
                <w:sz w:val="28"/>
                <w:szCs w:val="28"/>
                <w:lang w:eastAsia="zh-CN"/>
              </w:rPr>
            </w:pPr>
            <w:r>
              <w:rPr>
                <w:rFonts w:hint="eastAsia" w:ascii="宋体" w:hAnsi="宋体" w:eastAsia="宋体" w:cs="Arial"/>
                <w:b/>
                <w:bCs/>
                <w:color w:val="FF0000"/>
                <w:sz w:val="28"/>
                <w:szCs w:val="28"/>
                <w:lang w:eastAsia="zh-CN"/>
              </w:rPr>
              <w:t>注：</w:t>
            </w:r>
          </w:p>
          <w:p>
            <w:pPr>
              <w:ind w:firstLine="562" w:firstLineChars="200"/>
              <w:rPr>
                <w:rFonts w:hint="eastAsia" w:ascii="宋体" w:hAnsi="宋体" w:eastAsia="宋体" w:cs="Arial"/>
                <w:b/>
                <w:bCs/>
                <w:color w:val="FF0000"/>
                <w:sz w:val="28"/>
                <w:szCs w:val="28"/>
                <w:lang w:eastAsia="zh-CN"/>
              </w:rPr>
            </w:pPr>
            <w:r>
              <w:rPr>
                <w:rFonts w:hint="eastAsia" w:ascii="宋体" w:hAnsi="宋体" w:eastAsia="宋体" w:cs="Arial"/>
                <w:b/>
                <w:bCs/>
                <w:color w:val="FF0000"/>
                <w:sz w:val="28"/>
                <w:szCs w:val="28"/>
                <w:lang w:eastAsia="zh-CN"/>
              </w:rPr>
              <w:t>该项目谈判现场须提供平台功能模块演示。</w:t>
            </w: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tc>
      </w:tr>
    </w:tbl>
    <w:p>
      <w:pPr>
        <w:ind w:left="242" w:leftChars="-1" w:hanging="244" w:hangingChars="136"/>
        <w:rPr>
          <w:rFonts w:ascii="宋体" w:hAnsi="宋体" w:eastAsia="宋体"/>
          <w:sz w:val="18"/>
          <w:szCs w:val="18"/>
        </w:rPr>
      </w:pPr>
    </w:p>
    <w:tbl>
      <w:tblPr>
        <w:tblStyle w:val="2"/>
        <w:tblW w:w="9315" w:type="dxa"/>
        <w:tblInd w:w="0" w:type="dxa"/>
        <w:shd w:val="clear" w:color="auto" w:fill="auto"/>
        <w:tblLayout w:type="fixed"/>
        <w:tblCellMar>
          <w:top w:w="0" w:type="dxa"/>
          <w:left w:w="0" w:type="dxa"/>
          <w:bottom w:w="0" w:type="dxa"/>
          <w:right w:w="0" w:type="dxa"/>
        </w:tblCellMar>
      </w:tblPr>
      <w:tblGrid>
        <w:gridCol w:w="831"/>
        <w:gridCol w:w="1329"/>
        <w:gridCol w:w="1080"/>
        <w:gridCol w:w="1101"/>
        <w:gridCol w:w="4974"/>
      </w:tblGrid>
      <w:tr>
        <w:tblPrEx>
          <w:shd w:val="clear" w:color="auto" w:fill="auto"/>
          <w:tblLayout w:type="fixed"/>
          <w:tblCellMar>
            <w:top w:w="0" w:type="dxa"/>
            <w:left w:w="0" w:type="dxa"/>
            <w:bottom w:w="0" w:type="dxa"/>
            <w:right w:w="0"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D8D8D8"/>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序号</w:t>
            </w:r>
          </w:p>
        </w:tc>
        <w:tc>
          <w:tcPr>
            <w:tcW w:w="1329" w:type="dxa"/>
            <w:tcBorders>
              <w:top w:val="single" w:color="000000" w:sz="4" w:space="0"/>
              <w:left w:val="single" w:color="000000" w:sz="4" w:space="0"/>
              <w:bottom w:val="single" w:color="000000" w:sz="4" w:space="0"/>
              <w:right w:val="single" w:color="000000" w:sz="4" w:space="0"/>
            </w:tcBorders>
            <w:shd w:val="clear" w:color="auto" w:fill="D8D8D8"/>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产品名称</w:t>
            </w:r>
          </w:p>
        </w:tc>
        <w:tc>
          <w:tcPr>
            <w:tcW w:w="7155" w:type="dxa"/>
            <w:gridSpan w:val="3"/>
            <w:tcBorders>
              <w:top w:val="single" w:color="000000" w:sz="4" w:space="0"/>
              <w:left w:val="single" w:color="000000" w:sz="4" w:space="0"/>
              <w:bottom w:val="single" w:color="000000" w:sz="4" w:space="0"/>
              <w:right w:val="single" w:color="000000" w:sz="4" w:space="0"/>
            </w:tcBorders>
            <w:shd w:val="clear" w:color="auto" w:fill="D8D8D8"/>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功能需求描述</w:t>
            </w:r>
          </w:p>
        </w:tc>
      </w:tr>
      <w:tr>
        <w:tblPrEx>
          <w:tblLayout w:type="fixed"/>
          <w:tblCellMar>
            <w:top w:w="0" w:type="dxa"/>
            <w:left w:w="0" w:type="dxa"/>
            <w:bottom w:w="0" w:type="dxa"/>
            <w:right w:w="0" w:type="dxa"/>
          </w:tblCellMar>
        </w:tblPrEx>
        <w:trPr>
          <w:trHeight w:val="99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132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人工智能实验管理平台系统</w:t>
            </w:r>
          </w:p>
        </w:tc>
        <w:tc>
          <w:tcPr>
            <w:tcW w:w="71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《大数据实验管理平台系统》提供统一的平台管理所有的课程教学资料、讲义、实验指导手册、实验数据集、实验作业、实验报告书、实验成绩管理、用户管理等。</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人工智能实验管理系统为教师、学生服务。平台管理员和虚拟化集群管理员相同，负责虚拟机的创建与分配。</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教师能够上传、下载、更新教学资源和实验资源，发布实验步骤、布置作业及其评分标准、实验成绩管理等，拥有最高权限。</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学生能够管理自身的个性化资料，包括实验报告、实验结果、以及自己的学习与实验资料，同时允许在线实验操作，定时实验作业考试，查阅教师所上传的大数据技术实验资料，以及实验资料的上传、移动、更新、删除、交互式编辑、复制拷贝等操作。</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教师、学生采用统一的登录入口进入大数据实验平台，实验管理软件平台对接着后面的虚拟化管理集群和物理集群对用户透明，支持虚拟机的按需分配，方便快速地访问实验所需的实验资料和数据集。</w:t>
            </w:r>
          </w:p>
        </w:tc>
      </w:tr>
      <w:tr>
        <w:tblPrEx>
          <w:shd w:val="clear" w:color="auto" w:fill="auto"/>
          <w:tblLayout w:type="fixed"/>
          <w:tblCellMar>
            <w:top w:w="0" w:type="dxa"/>
            <w:left w:w="0" w:type="dxa"/>
            <w:bottom w:w="0" w:type="dxa"/>
            <w:right w:w="0" w:type="dxa"/>
          </w:tblCellMar>
        </w:tblPrEx>
        <w:trPr>
          <w:trHeight w:val="66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132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云计算管理系统</w:t>
            </w:r>
          </w:p>
        </w:tc>
        <w:tc>
          <w:tcPr>
            <w:tcW w:w="71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《云计算管理系统》采用分布式架构，良好的扩展性，支持二次开发，支持异构虚拟化技术。</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1.总体要求：要求基于Docker容器开放式云平台架构,优势：更高效的利用系统资源、秒级的启动时间、更轻松的迁移、更轻松的维护和扩展。</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2.镜像管理功能：要求能显示镜像列表、要求能显示镜像构建历史、能从容器创建新镜像、要求能够从 Dockerfile 构建镜像、从 registry 下载镜像、能将镜像上传到registry、要求能够删除Docker host中的镜像、支持使用Dockerfile构建镜像。</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3.配额调度：启动/停止/重启容器、暂停/恢复容器、删除容器、限制容器对CPU的使用、限制容器对内存的使用、限制容器对Block IO的使用。支持私有Docker Registry，用户可在本地地搭建私有 Docker Registry。（提供该系统功能截图）</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4. 基于容器的应用部署、维护和滚动升级</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5. 支持负载均衡和服务发现</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6.支持认证、授权、访问控制、API注册和发现等机制。</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7.支持维护集群状态，比如故障检测、自动扩展、滚动更新等</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8.支持scheduler资源调度。</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9.支持维护容器的生命周期，支持Volume（CVI）和网络（CNI）管理。</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10.支持镜像管理以及Pod和容器的真正运行（CRI）。</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11支持秒级创建资源：即从用户在页面点击“创建”按钮，到集群资源成功创建完成所花费时间不能超过15秒钟。</w:t>
            </w:r>
          </w:p>
        </w:tc>
      </w:tr>
      <w:tr>
        <w:tblPrEx>
          <w:shd w:val="clear" w:color="auto" w:fill="auto"/>
          <w:tblLayout w:type="fixed"/>
          <w:tblCellMar>
            <w:top w:w="0" w:type="dxa"/>
            <w:left w:w="0" w:type="dxa"/>
            <w:bottom w:w="0" w:type="dxa"/>
            <w:right w:w="0" w:type="dxa"/>
          </w:tblCellMar>
        </w:tblPrEx>
        <w:trPr>
          <w:trHeight w:val="1650"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大数据实验管理课程系统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大数据开发技术(Hadoop)</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开发技术(Hadoop)》课程模块资源包含：教学视频、实验手册等教学内容。课程模块可以提供教学视频总时长600分钟以上；课程模块实验视频不少于17个；课程模块可以提供实验手册17个以上，每个实验手册有对应的操作讲解视频；实验内容不少于17个。</w:t>
            </w:r>
          </w:p>
        </w:tc>
      </w:tr>
      <w:tr>
        <w:tblPrEx>
          <w:tblLayout w:type="fixed"/>
          <w:tblCellMar>
            <w:top w:w="0" w:type="dxa"/>
            <w:left w:w="0" w:type="dxa"/>
            <w:bottom w:w="0" w:type="dxa"/>
            <w:right w:w="0" w:type="dxa"/>
          </w:tblCellMar>
        </w:tblPrEx>
        <w:trPr>
          <w:trHeight w:val="1785"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3-2</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分布式数据仓库（Hive）</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分布式数据仓库（Hive）》课程模块资源包含：教学视频、实验手册等教学内容。课程模块可以提供教学视频总时长1000分钟以上；课程模块实验视频不少于60个；课程模块可以提供实验手册27个以上，每个实验手册有对应的操作讲解视频；实验内容不少于27个。</w:t>
            </w:r>
          </w:p>
        </w:tc>
      </w:tr>
      <w:tr>
        <w:tblPrEx>
          <w:tblLayout w:type="fixed"/>
          <w:tblCellMar>
            <w:top w:w="0" w:type="dxa"/>
            <w:left w:w="0" w:type="dxa"/>
            <w:bottom w:w="0" w:type="dxa"/>
            <w:right w:w="0" w:type="dxa"/>
          </w:tblCellMar>
        </w:tblPrEx>
        <w:trPr>
          <w:trHeight w:val="165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3-3</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数据库技术（NoSQL）</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数据库技术（NoSQL）》课程模块资源包含：教学视频、实验手册等教学内容。课程模块可以提供教学视频总时长1000分钟以上；课程模块实验视频不少于60个；课程模块可以提供实验手册23个以上，每个实验手册有对应的操作讲解视频；实验内容不少于23个。</w:t>
            </w:r>
          </w:p>
        </w:tc>
      </w:tr>
      <w:tr>
        <w:tblPrEx>
          <w:tblLayout w:type="fixed"/>
          <w:tblCellMar>
            <w:top w:w="0" w:type="dxa"/>
            <w:left w:w="0" w:type="dxa"/>
            <w:bottom w:w="0" w:type="dxa"/>
            <w:right w:w="0" w:type="dxa"/>
          </w:tblCellMar>
        </w:tblPrEx>
        <w:trPr>
          <w:trHeight w:val="165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3-4</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Scala编程</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cala编程》课程模块资源包含：教学视频、实验手册等教学内容。课程模块可以提供教学视频总时长400分钟以上；课程模块实验视频不少于35个；课程模块可以提供实验手册12个以上，每个实验手册有对应的操作讲解视频；实验内容不少于12个。</w:t>
            </w:r>
          </w:p>
        </w:tc>
      </w:tr>
      <w:tr>
        <w:tblPrEx>
          <w:tblLayout w:type="fixed"/>
          <w:tblCellMar>
            <w:top w:w="0" w:type="dxa"/>
            <w:left w:w="0" w:type="dxa"/>
            <w:bottom w:w="0" w:type="dxa"/>
            <w:right w:w="0" w:type="dxa"/>
          </w:tblCellMar>
        </w:tblPrEx>
        <w:trPr>
          <w:trHeight w:val="165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3-5</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大数据处理技术（Spark）-基础</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处理技术（Spark）-基础》课程模块资源包含：教学视频、实验手册等教学内容。课程模块可以提供教学视频总时长400分钟以上；课程模块实验视频不少于20个；课程模块可以提供实验手册13个以上，每个实验手册有对应的操作讲解视频；实验内容不少于13个。</w:t>
            </w:r>
          </w:p>
        </w:tc>
      </w:tr>
      <w:tr>
        <w:tblPrEx>
          <w:tblLayout w:type="fixed"/>
          <w:tblCellMar>
            <w:top w:w="0" w:type="dxa"/>
            <w:left w:w="0" w:type="dxa"/>
            <w:bottom w:w="0" w:type="dxa"/>
            <w:right w:w="0" w:type="dxa"/>
          </w:tblCellMar>
        </w:tblPrEx>
        <w:trPr>
          <w:trHeight w:val="855"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3-6</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大数据处理技术（Spark）-中级</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《大数据处理技术（Spark）-中级》课程模块资源包含：实验手册等教学内容。实验内容不少于13个。</w:t>
            </w:r>
          </w:p>
        </w:tc>
      </w:tr>
      <w:tr>
        <w:tblPrEx>
          <w:tblLayout w:type="fixed"/>
          <w:tblCellMar>
            <w:top w:w="0" w:type="dxa"/>
            <w:left w:w="0" w:type="dxa"/>
            <w:bottom w:w="0" w:type="dxa"/>
            <w:right w:w="0" w:type="dxa"/>
          </w:tblCellMar>
        </w:tblPrEx>
        <w:trPr>
          <w:trHeight w:val="90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3-7</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大数据处理技术（Spark）-高级</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《大数据处理技术（Spark）-高级》课程模块资源包含：实验手册等教学内容。实验内容不少于5个。</w:t>
            </w:r>
          </w:p>
        </w:tc>
      </w:tr>
      <w:tr>
        <w:tblPrEx>
          <w:tblLayout w:type="fixed"/>
          <w:tblCellMar>
            <w:top w:w="0" w:type="dxa"/>
            <w:left w:w="0" w:type="dxa"/>
            <w:bottom w:w="0" w:type="dxa"/>
            <w:right w:w="0" w:type="dxa"/>
          </w:tblCellMar>
        </w:tblPrEx>
        <w:trPr>
          <w:trHeight w:val="1305"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3-8</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Python编程</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《Python编程》课程模块实验视频不少于12个，视频总时长200分钟以上。课程模块可以提供实验手册12个，每个实验手册有对应的操作讲解视频。课程模块提供以下实验内容，实验内容不少于12个： </w:t>
            </w:r>
          </w:p>
        </w:tc>
      </w:tr>
      <w:tr>
        <w:tblPrEx>
          <w:tblLayout w:type="fixed"/>
          <w:tblCellMar>
            <w:top w:w="0" w:type="dxa"/>
            <w:left w:w="0" w:type="dxa"/>
            <w:bottom w:w="0" w:type="dxa"/>
            <w:right w:w="0" w:type="dxa"/>
          </w:tblCellMar>
        </w:tblPrEx>
        <w:trPr>
          <w:trHeight w:val="165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3-9</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数据分析与挖掘</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数据分析与挖掘》课程模块资源包含实验视频、实验手册等教学内容。课程模块实验视频不少于7个，视频总时长400分钟以上。课程模块可以提供实验手册7个，每个实验手册有对应的操作讲解视频。课程模块提供以下实验内容，实验内容不少于7个： </w:t>
            </w:r>
          </w:p>
        </w:tc>
      </w:tr>
      <w:tr>
        <w:tblPrEx>
          <w:tblLayout w:type="fixed"/>
          <w:tblCellMar>
            <w:top w:w="0" w:type="dxa"/>
            <w:left w:w="0" w:type="dxa"/>
            <w:bottom w:w="0" w:type="dxa"/>
            <w:right w:w="0" w:type="dxa"/>
          </w:tblCellMar>
        </w:tblPrEx>
        <w:trPr>
          <w:trHeight w:val="165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3-10</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大数据可视化技术</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可视化技术》课程模块资源包含实验视频、实验手册等教学内容。课程模块实验视频不少于14个，视频总时长600分钟以上。课程模块可以提供实验手册14个，每个实验手册有对应的操作讲解视频。课程模块提供以下实验内容，实验内容不少于14个：</w:t>
            </w:r>
          </w:p>
        </w:tc>
      </w:tr>
      <w:tr>
        <w:tblPrEx>
          <w:tblLayout w:type="fixed"/>
          <w:tblCellMar>
            <w:top w:w="0" w:type="dxa"/>
            <w:left w:w="0" w:type="dxa"/>
            <w:bottom w:w="0" w:type="dxa"/>
            <w:right w:w="0" w:type="dxa"/>
          </w:tblCellMar>
        </w:tblPrEx>
        <w:trPr>
          <w:trHeight w:val="165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3-11</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机器学习-基础</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机器学习-基础》课程模块资源包含实验视频、实验手册等教学内容。课程模块实验视频不少于11个，视频总时长300分钟以上。课程模块可以提供实验手册11个，每个实验手册有对应的操作讲解视频。课程模块提供以下实验内容，实验内容不少于11个： </w:t>
            </w:r>
          </w:p>
        </w:tc>
      </w:tr>
      <w:tr>
        <w:tblPrEx>
          <w:tblLayout w:type="fixed"/>
          <w:tblCellMar>
            <w:top w:w="0" w:type="dxa"/>
            <w:left w:w="0" w:type="dxa"/>
            <w:bottom w:w="0" w:type="dxa"/>
            <w:right w:w="0" w:type="dxa"/>
          </w:tblCellMar>
        </w:tblPrEx>
        <w:trPr>
          <w:trHeight w:val="165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3-12</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机器学习-高级</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机器学习-高级》课程模块资源包含实验视频、实验手册等教学内容。课程模块实验视频不少于11个，视频总时长600分钟以上。课程模块可以提供实验手册11个，每个实验手册有对应的操作讲解视频。课程模块提供以下实验内容，实验内容不少于11个：。</w:t>
            </w:r>
          </w:p>
        </w:tc>
      </w:tr>
      <w:tr>
        <w:tblPrEx>
          <w:tblLayout w:type="fixed"/>
          <w:tblCellMar>
            <w:top w:w="0" w:type="dxa"/>
            <w:left w:w="0" w:type="dxa"/>
            <w:bottom w:w="0" w:type="dxa"/>
            <w:right w:w="0" w:type="dxa"/>
          </w:tblCellMar>
        </w:tblPrEx>
        <w:trPr>
          <w:trHeight w:val="66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3-13</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深度学习-主流框架</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《深度学习-主流框架》课程模块资源包含：实验手册等教学内容。实验内容不少于7个。</w:t>
            </w:r>
          </w:p>
        </w:tc>
      </w:tr>
      <w:tr>
        <w:tblPrEx>
          <w:tblLayout w:type="fixed"/>
          <w:tblCellMar>
            <w:top w:w="0" w:type="dxa"/>
            <w:left w:w="0" w:type="dxa"/>
            <w:bottom w:w="0" w:type="dxa"/>
            <w:right w:w="0" w:type="dxa"/>
          </w:tblCellMar>
        </w:tblPrEx>
        <w:trPr>
          <w:trHeight w:val="66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3-14</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深度学习-典型实例</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《深度学习-典型实例》课程模块资源包含：实验手册、作业题等教学内容。实验内容不少于8个。</w:t>
            </w:r>
          </w:p>
        </w:tc>
      </w:tr>
      <w:tr>
        <w:tblPrEx>
          <w:tblLayout w:type="fixed"/>
          <w:tblCellMar>
            <w:top w:w="0" w:type="dxa"/>
            <w:left w:w="0" w:type="dxa"/>
            <w:bottom w:w="0" w:type="dxa"/>
            <w:right w:w="0" w:type="dxa"/>
          </w:tblCellMar>
        </w:tblPrEx>
        <w:trPr>
          <w:trHeight w:val="198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3-15</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大数据行业应用-农业产品</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《大数据行业应用-农业产品》项目案例包</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1.1.汇总多个平台农产品销售信息，推进农产品经济的优化。</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1.2.约15G数据</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1.3.《实验手册》《系统安装部署文档》</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1.4.项目源代码及代码注释</w:t>
            </w:r>
          </w:p>
        </w:tc>
      </w:tr>
      <w:tr>
        <w:tblPrEx>
          <w:tblLayout w:type="fixed"/>
          <w:tblCellMar>
            <w:top w:w="0" w:type="dxa"/>
            <w:left w:w="0" w:type="dxa"/>
            <w:bottom w:w="0" w:type="dxa"/>
            <w:right w:w="0" w:type="dxa"/>
          </w:tblCellMar>
        </w:tblPrEx>
        <w:trPr>
          <w:trHeight w:val="231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3-16</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大数据行业应用-运营商</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《大数据行业应用-运营商》项目案例包</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1.1.通过运营商工单历史数据和专席通话记录数据对用户情绪进行统计分析，预防高危用户流失，降低投诉次数，提高用户体验。</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1.2.约15G数据</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1.3.《实验手册》《系统安装部署文档》</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1.4.项目源代码及代码注释</w:t>
            </w:r>
          </w:p>
        </w:tc>
      </w:tr>
      <w:tr>
        <w:tblPrEx>
          <w:tblLayout w:type="fixed"/>
          <w:tblCellMar>
            <w:top w:w="0" w:type="dxa"/>
            <w:left w:w="0" w:type="dxa"/>
            <w:bottom w:w="0" w:type="dxa"/>
            <w:right w:w="0" w:type="dxa"/>
          </w:tblCellMar>
        </w:tblPrEx>
        <w:trPr>
          <w:trHeight w:val="198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3-17</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大数据行业应用-线上竞拍</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《大数据行业应用-线上竞拍》项目案例包</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1.1 利用历史拍卖数据，用机器学习的方法来训练一个模型，以预测一项拍卖是否会成功，和最终成功交易的价格</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1.2.约20G交易数据</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1.3.《实验手册》《系统安装部署文档》</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1.4.项目源代码及代码注释</w:t>
            </w:r>
          </w:p>
        </w:tc>
      </w:tr>
      <w:tr>
        <w:tblPrEx>
          <w:tblLayout w:type="fixed"/>
          <w:tblCellMar>
            <w:top w:w="0" w:type="dxa"/>
            <w:left w:w="0" w:type="dxa"/>
            <w:bottom w:w="0" w:type="dxa"/>
            <w:right w:w="0" w:type="dxa"/>
          </w:tblCellMar>
        </w:tblPrEx>
        <w:trPr>
          <w:trHeight w:val="165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3-18</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大数据行业应用-情感分析</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《大数据行业应用-情感分析》项目案例包</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1.1.利用网络上爬取的数据实现人们对某人的情感分析</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1.2.约20G数据</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1.3.《实验手册》《系统安装部署文档》</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1.4.项目源代码及代码注释</w:t>
            </w:r>
          </w:p>
        </w:tc>
      </w:tr>
    </w:tbl>
    <w:p>
      <w:pPr>
        <w:ind w:left="242" w:leftChars="-1" w:hanging="244" w:hangingChars="136"/>
        <w:rPr>
          <w:rFonts w:ascii="宋体" w:hAnsi="宋体" w:eastAsia="宋体"/>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161F"/>
    <w:multiLevelType w:val="multilevel"/>
    <w:tmpl w:val="0644161F"/>
    <w:lvl w:ilvl="0" w:tentative="0">
      <w:start w:val="1"/>
      <w:numFmt w:val="japaneseCounting"/>
      <w:lvlText w:val="%1、"/>
      <w:lvlJc w:val="left"/>
      <w:pPr>
        <w:ind w:left="720" w:hanging="720"/>
      </w:pPr>
      <w:rPr>
        <w:rFonts w:hint="default" w:eastAsia="宋体"/>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FC"/>
    <w:rsid w:val="00062229"/>
    <w:rsid w:val="00077372"/>
    <w:rsid w:val="0011746F"/>
    <w:rsid w:val="003372BD"/>
    <w:rsid w:val="007C0E4C"/>
    <w:rsid w:val="0085369C"/>
    <w:rsid w:val="008B484E"/>
    <w:rsid w:val="009817A9"/>
    <w:rsid w:val="009917FC"/>
    <w:rsid w:val="00BF4680"/>
    <w:rsid w:val="00F06A8F"/>
    <w:rsid w:val="04386F06"/>
    <w:rsid w:val="45805871"/>
    <w:rsid w:val="4B8B7EC8"/>
    <w:rsid w:val="61833FB4"/>
    <w:rsid w:val="68BB468C"/>
    <w:rsid w:val="69295F35"/>
    <w:rsid w:val="737361D7"/>
    <w:rsid w:val="7411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南京中医药大学</Company>
  <Pages>4</Pages>
  <Words>220</Words>
  <Characters>1255</Characters>
  <Lines>10</Lines>
  <Paragraphs>2</Paragraphs>
  <TotalTime>7</TotalTime>
  <ScaleCrop>false</ScaleCrop>
  <LinksUpToDate>false</LinksUpToDate>
  <CharactersWithSpaces>1473</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2018-09-05T07:41:00Z</dcterms:created>
  <dc:creator>汤凡</dc:creator>
  <cp:lastModifiedBy>廖佳</cp:lastModifiedBy>
  <dcterms:modified xsi:type="dcterms:W3CDTF">2019-09-19T07:29:53Z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