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8E" w:rsidRDefault="009D7B74">
      <w:pPr>
        <w:jc w:val="center"/>
        <w:textAlignment w:val="baseline"/>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8296" w:type="dxa"/>
        <w:tblLayout w:type="fixed"/>
        <w:tblLook w:val="04A0" w:firstRow="1" w:lastRow="0" w:firstColumn="1" w:lastColumn="0" w:noHBand="0" w:noVBand="1"/>
      </w:tblPr>
      <w:tblGrid>
        <w:gridCol w:w="8296"/>
      </w:tblGrid>
      <w:tr w:rsidR="00233009" w:rsidTr="006957B7">
        <w:tc>
          <w:tcPr>
            <w:tcW w:w="8296" w:type="dxa"/>
          </w:tcPr>
          <w:p w:rsidR="00233009" w:rsidRDefault="00233009">
            <w:pPr>
              <w:textAlignment w:val="baseline"/>
              <w:rPr>
                <w:rFonts w:ascii="宋体" w:eastAsia="宋体" w:hAnsi="宋体"/>
                <w:sz w:val="24"/>
                <w:szCs w:val="24"/>
              </w:rPr>
            </w:pPr>
            <w:r>
              <w:rPr>
                <w:rFonts w:ascii="宋体" w:eastAsia="宋体" w:hAnsi="宋体" w:hint="eastAsia"/>
                <w:sz w:val="24"/>
                <w:szCs w:val="24"/>
              </w:rPr>
              <w:t>产品名称</w:t>
            </w:r>
          </w:p>
          <w:p w:rsidR="00233009" w:rsidRDefault="00233009">
            <w:pPr>
              <w:textAlignment w:val="baseline"/>
              <w:rPr>
                <w:rFonts w:ascii="宋体" w:eastAsia="宋体" w:hAnsi="宋体"/>
                <w:sz w:val="24"/>
                <w:szCs w:val="24"/>
              </w:rPr>
            </w:pPr>
            <w:r w:rsidRPr="009E2EE6">
              <w:rPr>
                <w:rFonts w:ascii="宋体" w:eastAsia="宋体" w:hAnsi="宋体" w:hint="eastAsia"/>
                <w:sz w:val="24"/>
                <w:szCs w:val="24"/>
              </w:rPr>
              <w:t>电动液压篮球架</w:t>
            </w:r>
            <w:r>
              <w:rPr>
                <w:rFonts w:ascii="宋体" w:eastAsia="宋体" w:hAnsi="宋体" w:hint="eastAsia"/>
                <w:sz w:val="24"/>
                <w:szCs w:val="24"/>
              </w:rPr>
              <w:t>、</w:t>
            </w:r>
            <w:r w:rsidRPr="00233009">
              <w:rPr>
                <w:rFonts w:ascii="宋体" w:eastAsia="宋体" w:hAnsi="宋体" w:hint="eastAsia"/>
                <w:sz w:val="24"/>
                <w:szCs w:val="24"/>
              </w:rPr>
              <w:t>悬臂固定篮球架</w:t>
            </w:r>
          </w:p>
          <w:p w:rsidR="00233009" w:rsidRDefault="00233009">
            <w:pPr>
              <w:textAlignment w:val="baseline"/>
              <w:rPr>
                <w:rFonts w:ascii="宋体" w:eastAsia="宋体" w:hAnsi="宋体"/>
                <w:sz w:val="24"/>
                <w:szCs w:val="24"/>
              </w:rPr>
            </w:pPr>
            <w:r>
              <w:rPr>
                <w:rFonts w:ascii="宋体" w:eastAsia="宋体" w:hAnsi="宋体" w:hint="eastAsia"/>
                <w:sz w:val="24"/>
                <w:szCs w:val="24"/>
              </w:rPr>
              <w:t xml:space="preserve"> </w:t>
            </w:r>
          </w:p>
        </w:tc>
      </w:tr>
      <w:tr w:rsidR="00775924">
        <w:trPr>
          <w:trHeight w:val="371"/>
        </w:trPr>
        <w:tc>
          <w:tcPr>
            <w:tcW w:w="8296" w:type="dxa"/>
          </w:tcPr>
          <w:p w:rsidR="0001738E" w:rsidRDefault="009D7B74" w:rsidP="009E2EE6">
            <w:pPr>
              <w:textAlignment w:val="baseline"/>
              <w:rPr>
                <w:rFonts w:ascii="宋体" w:eastAsia="宋体" w:hAnsi="宋体"/>
                <w:sz w:val="28"/>
                <w:szCs w:val="28"/>
              </w:rPr>
            </w:pPr>
            <w:r>
              <w:rPr>
                <w:rFonts w:ascii="宋体" w:eastAsia="宋体" w:hAnsi="宋体" w:hint="eastAsia"/>
                <w:sz w:val="24"/>
                <w:szCs w:val="24"/>
              </w:rPr>
              <w:t>主要用途描述：</w:t>
            </w:r>
            <w:r w:rsidR="009E2EE6">
              <w:rPr>
                <w:rFonts w:ascii="宋体" w:eastAsia="宋体" w:hAnsi="宋体" w:hint="eastAsia"/>
                <w:sz w:val="24"/>
                <w:szCs w:val="24"/>
              </w:rPr>
              <w:t>篮球场馆比赛使用</w:t>
            </w:r>
          </w:p>
        </w:tc>
      </w:tr>
      <w:tr w:rsidR="00775924">
        <w:trPr>
          <w:trHeight w:val="6874"/>
        </w:trPr>
        <w:tc>
          <w:tcPr>
            <w:tcW w:w="8296" w:type="dxa"/>
          </w:tcPr>
          <w:p w:rsidR="00233009" w:rsidRDefault="00233009">
            <w:pPr>
              <w:textAlignment w:val="baseline"/>
              <w:rPr>
                <w:rFonts w:ascii="宋体" w:eastAsia="宋体" w:hAnsi="宋体" w:hint="eastAsia"/>
                <w:b/>
                <w:sz w:val="18"/>
                <w:szCs w:val="18"/>
              </w:rPr>
            </w:pPr>
          </w:p>
          <w:p w:rsidR="00233009" w:rsidRPr="00233009" w:rsidRDefault="00233009" w:rsidP="00233009">
            <w:pPr>
              <w:pStyle w:val="a6"/>
              <w:numPr>
                <w:ilvl w:val="0"/>
                <w:numId w:val="1"/>
              </w:numPr>
              <w:ind w:firstLineChars="0"/>
              <w:textAlignment w:val="baseline"/>
              <w:rPr>
                <w:rFonts w:ascii="宋体" w:eastAsia="宋体" w:hAnsi="宋体" w:hint="eastAsia"/>
                <w:b/>
                <w:sz w:val="18"/>
                <w:szCs w:val="18"/>
              </w:rPr>
            </w:pPr>
            <w:r w:rsidRPr="00233009">
              <w:rPr>
                <w:rFonts w:ascii="宋体" w:eastAsia="宋体" w:hAnsi="宋体" w:hint="eastAsia"/>
                <w:b/>
                <w:sz w:val="18"/>
                <w:szCs w:val="18"/>
              </w:rPr>
              <w:t>电动液压篮球架</w:t>
            </w:r>
          </w:p>
          <w:p w:rsidR="00233009" w:rsidRPr="00233009" w:rsidRDefault="00233009" w:rsidP="00233009">
            <w:pPr>
              <w:pStyle w:val="a6"/>
              <w:ind w:left="390" w:firstLineChars="0" w:firstLine="0"/>
              <w:textAlignment w:val="baseline"/>
              <w:rPr>
                <w:rFonts w:ascii="宋体" w:eastAsia="宋体" w:hAnsi="宋体" w:hint="eastAsia"/>
                <w:b/>
                <w:sz w:val="18"/>
                <w:szCs w:val="18"/>
              </w:rPr>
            </w:pPr>
          </w:p>
          <w:p w:rsidR="0001738E" w:rsidRPr="009E2EE6" w:rsidRDefault="009D7B74">
            <w:pPr>
              <w:textAlignment w:val="baseline"/>
              <w:rPr>
                <w:rFonts w:ascii="宋体" w:eastAsia="宋体" w:hAnsi="宋体"/>
                <w:sz w:val="18"/>
                <w:szCs w:val="18"/>
              </w:rPr>
            </w:pPr>
            <w:r w:rsidRPr="00233009">
              <w:rPr>
                <w:rFonts w:ascii="宋体" w:eastAsia="宋体" w:hAnsi="宋体" w:hint="eastAsia"/>
                <w:sz w:val="18"/>
                <w:szCs w:val="18"/>
              </w:rPr>
              <w:t>参数</w:t>
            </w:r>
            <w:r w:rsidRPr="009E2EE6">
              <w:rPr>
                <w:rFonts w:ascii="宋体" w:eastAsia="宋体" w:hAnsi="宋体" w:hint="eastAsia"/>
                <w:sz w:val="18"/>
                <w:szCs w:val="18"/>
              </w:rPr>
              <w:t>要求：</w:t>
            </w:r>
            <w:bookmarkStart w:id="0" w:name="_GoBack"/>
            <w:bookmarkEnd w:id="0"/>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t>1、产品规格</w:t>
            </w:r>
          </w:p>
          <w:p w:rsidR="009E2EE6" w:rsidRPr="009E2EE6" w:rsidRDefault="009E2EE6" w:rsidP="009E2EE6">
            <w:pPr>
              <w:spacing w:line="360" w:lineRule="auto"/>
              <w:ind w:firstLineChars="200" w:firstLine="360"/>
              <w:textAlignment w:val="baseline"/>
              <w:rPr>
                <w:rFonts w:ascii="宋体" w:eastAsia="宋体" w:hAnsi="宋体"/>
                <w:sz w:val="18"/>
                <w:szCs w:val="18"/>
              </w:rPr>
            </w:pPr>
            <w:r w:rsidRPr="009E2EE6">
              <w:rPr>
                <w:rFonts w:ascii="宋体" w:eastAsia="宋体" w:hAnsi="宋体" w:hint="eastAsia"/>
                <w:sz w:val="18"/>
                <w:szCs w:val="18"/>
              </w:rPr>
              <w:t>篮架伸臂为</w:t>
            </w:r>
            <w:smartTag w:uri="urn:schemas-microsoft-com:office:smarttags" w:element="chmetcnv">
              <w:r w:rsidRPr="009E2EE6">
                <w:rPr>
                  <w:rFonts w:ascii="宋体" w:eastAsia="宋体" w:hAnsi="宋体" w:hint="eastAsia"/>
                  <w:sz w:val="18"/>
                  <w:szCs w:val="18"/>
                </w:rPr>
                <w:t>3.35m</w:t>
              </w:r>
            </w:smartTag>
            <w:r w:rsidRPr="009E2EE6">
              <w:rPr>
                <w:rFonts w:ascii="宋体" w:eastAsia="宋体" w:hAnsi="宋体" w:hint="eastAsia"/>
                <w:sz w:val="18"/>
                <w:szCs w:val="18"/>
              </w:rPr>
              <w:t>，篮圈上沿离地面高</w:t>
            </w:r>
            <w:smartTag w:uri="urn:schemas-microsoft-com:office:smarttags" w:element="chmetcnv">
              <w:r w:rsidRPr="009E2EE6">
                <w:rPr>
                  <w:rFonts w:ascii="宋体" w:eastAsia="宋体" w:hAnsi="宋体" w:hint="eastAsia"/>
                  <w:sz w:val="18"/>
                  <w:szCs w:val="18"/>
                </w:rPr>
                <w:t>3.05m</w:t>
              </w:r>
            </w:smartTag>
            <w:r w:rsidRPr="009E2EE6">
              <w:rPr>
                <w:rFonts w:ascii="宋体" w:eastAsia="宋体" w:hAnsi="宋体" w:hint="eastAsia"/>
                <w:sz w:val="18"/>
                <w:szCs w:val="18"/>
              </w:rPr>
              <w:t>，球架底座尺寸：长×宽×前高×后高=2.5×1.3×0.74×0.385（m）。</w:t>
            </w:r>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t>2、产品用材</w:t>
            </w:r>
          </w:p>
          <w:p w:rsidR="009E2EE6" w:rsidRPr="009E2EE6" w:rsidRDefault="009E2EE6" w:rsidP="009E2EE6">
            <w:pPr>
              <w:spacing w:line="360" w:lineRule="auto"/>
              <w:ind w:firstLine="570"/>
              <w:textAlignment w:val="baseline"/>
              <w:rPr>
                <w:rFonts w:ascii="宋体" w:eastAsia="宋体" w:hAnsi="宋体"/>
                <w:sz w:val="18"/>
                <w:szCs w:val="18"/>
              </w:rPr>
            </w:pPr>
            <w:r w:rsidRPr="009E2EE6">
              <w:rPr>
                <w:rFonts w:ascii="宋体" w:eastAsia="宋体" w:hAnsi="宋体" w:hint="eastAsia"/>
                <w:sz w:val="18"/>
                <w:szCs w:val="18"/>
              </w:rPr>
              <w:t>篮球架底座采用</w:t>
            </w:r>
            <w:smartTag w:uri="urn:schemas-microsoft-com:office:smarttags" w:element="chmetcnv">
              <w:r w:rsidRPr="009E2EE6">
                <w:rPr>
                  <w:rFonts w:ascii="宋体" w:eastAsia="宋体" w:hAnsi="宋体" w:hint="eastAsia"/>
                  <w:sz w:val="18"/>
                  <w:szCs w:val="18"/>
                </w:rPr>
                <w:t>6 mm</w:t>
              </w:r>
            </w:smartTag>
            <w:r w:rsidRPr="009E2EE6">
              <w:rPr>
                <w:rFonts w:ascii="宋体" w:eastAsia="宋体" w:hAnsi="宋体" w:hint="eastAsia"/>
                <w:sz w:val="18"/>
                <w:szCs w:val="18"/>
              </w:rPr>
              <w:t>的铁板在专用折边机上折边拼焊而成，底座前立柱、后立柱支撑架和油缸支撑</w:t>
            </w:r>
            <w:proofErr w:type="gramStart"/>
            <w:r w:rsidRPr="009E2EE6">
              <w:rPr>
                <w:rFonts w:ascii="宋体" w:eastAsia="宋体" w:hAnsi="宋体" w:hint="eastAsia"/>
                <w:sz w:val="18"/>
                <w:szCs w:val="18"/>
              </w:rPr>
              <w:t>架采用</w:t>
            </w:r>
            <w:proofErr w:type="gramEnd"/>
            <w:smartTag w:uri="urn:schemas-microsoft-com:office:smarttags" w:element="chmetcnv">
              <w:r w:rsidRPr="009E2EE6">
                <w:rPr>
                  <w:rFonts w:ascii="宋体" w:eastAsia="宋体" w:hAnsi="宋体" w:hint="eastAsia"/>
                  <w:sz w:val="18"/>
                  <w:szCs w:val="18"/>
                </w:rPr>
                <w:t>6 mm</w:t>
              </w:r>
            </w:smartTag>
            <w:r w:rsidRPr="009E2EE6">
              <w:rPr>
                <w:rFonts w:ascii="宋体" w:eastAsia="宋体" w:hAnsi="宋体" w:hint="eastAsia"/>
                <w:sz w:val="18"/>
                <w:szCs w:val="18"/>
              </w:rPr>
              <w:t>铁板折边制作，篮架立柱采用口150×70×3方管、口120×70×3方管和口</w:t>
            </w:r>
            <w:proofErr w:type="gramStart"/>
            <w:r w:rsidRPr="009E2EE6">
              <w:rPr>
                <w:rFonts w:ascii="宋体" w:eastAsia="宋体" w:hAnsi="宋体" w:hint="eastAsia"/>
                <w:sz w:val="18"/>
                <w:szCs w:val="18"/>
              </w:rPr>
              <w:t>70×70×</w:t>
            </w:r>
            <w:proofErr w:type="gramEnd"/>
            <w:r w:rsidRPr="009E2EE6">
              <w:rPr>
                <w:rFonts w:ascii="宋体" w:eastAsia="宋体" w:hAnsi="宋体" w:hint="eastAsia"/>
                <w:sz w:val="18"/>
                <w:szCs w:val="18"/>
              </w:rPr>
              <w:t>3方管拼焊而成，篮架伸臂采用口</w:t>
            </w:r>
            <w:proofErr w:type="gramStart"/>
            <w:r w:rsidRPr="009E2EE6">
              <w:rPr>
                <w:rFonts w:ascii="宋体" w:eastAsia="宋体" w:hAnsi="宋体" w:hint="eastAsia"/>
                <w:sz w:val="18"/>
                <w:szCs w:val="18"/>
              </w:rPr>
              <w:t>140×140×</w:t>
            </w:r>
            <w:proofErr w:type="gramEnd"/>
            <w:r w:rsidRPr="009E2EE6">
              <w:rPr>
                <w:rFonts w:ascii="宋体" w:eastAsia="宋体" w:hAnsi="宋体" w:hint="eastAsia"/>
                <w:sz w:val="18"/>
                <w:szCs w:val="18"/>
              </w:rPr>
              <w:t>4方管、口140×70×3方管和口70×50方管拼焊而成，焊缝表面均匀光滑，篮架立柱转动部位和伸臂头部连接件均采用优质精密铸钢件制作，性能安全可靠，篮架上拉杆采用优质圆管在弯管机上一次成型，避免了电焊及焊渣易引起生锈的隐患，下拉杆采用精拉管拼焊而成，合理的结构设计与独特的外观造型和谐统一。</w:t>
            </w:r>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t>3、产品结构原理</w:t>
            </w:r>
          </w:p>
          <w:p w:rsidR="009E2EE6" w:rsidRPr="009E2EE6" w:rsidRDefault="009E2EE6" w:rsidP="009E2EE6">
            <w:pPr>
              <w:spacing w:line="360" w:lineRule="auto"/>
              <w:ind w:firstLine="570"/>
              <w:textAlignment w:val="baseline"/>
              <w:rPr>
                <w:rFonts w:ascii="宋体" w:eastAsia="宋体" w:hAnsi="宋体"/>
                <w:sz w:val="18"/>
                <w:szCs w:val="18"/>
              </w:rPr>
            </w:pPr>
            <w:r w:rsidRPr="009E2EE6">
              <w:rPr>
                <w:rFonts w:ascii="宋体" w:eastAsia="宋体" w:hAnsi="宋体" w:hint="eastAsia"/>
                <w:sz w:val="18"/>
                <w:szCs w:val="18"/>
              </w:rPr>
              <w:t>YLJ-5电动液压篮球架采用微电脑控制系统，设有篮架升降系统、</w:t>
            </w:r>
            <w:proofErr w:type="gramStart"/>
            <w:r w:rsidRPr="009E2EE6">
              <w:rPr>
                <w:rFonts w:ascii="宋体" w:eastAsia="宋体" w:hAnsi="宋体" w:hint="eastAsia"/>
                <w:sz w:val="18"/>
                <w:szCs w:val="18"/>
              </w:rPr>
              <w:t>走轮伸缩</w:t>
            </w:r>
            <w:proofErr w:type="gramEnd"/>
            <w:r w:rsidRPr="009E2EE6">
              <w:rPr>
                <w:rFonts w:ascii="宋体" w:eastAsia="宋体" w:hAnsi="宋体" w:hint="eastAsia"/>
                <w:sz w:val="18"/>
                <w:szCs w:val="18"/>
              </w:rPr>
              <w:t>机构、电器、液压系统。</w:t>
            </w:r>
          </w:p>
          <w:p w:rsidR="009E2EE6" w:rsidRPr="009E2EE6" w:rsidRDefault="009E2EE6" w:rsidP="009E2EE6">
            <w:pPr>
              <w:spacing w:line="360" w:lineRule="auto"/>
              <w:ind w:firstLine="570"/>
              <w:textAlignment w:val="baseline"/>
              <w:rPr>
                <w:rFonts w:ascii="宋体" w:eastAsia="宋体" w:hAnsi="宋体"/>
                <w:sz w:val="18"/>
                <w:szCs w:val="18"/>
              </w:rPr>
            </w:pPr>
            <w:r w:rsidRPr="009E2EE6">
              <w:rPr>
                <w:rFonts w:ascii="宋体" w:eastAsia="宋体" w:hAnsi="宋体" w:hint="eastAsia"/>
                <w:sz w:val="18"/>
                <w:szCs w:val="18"/>
              </w:rPr>
              <w:t>篮</w:t>
            </w:r>
            <w:proofErr w:type="gramStart"/>
            <w:r w:rsidRPr="009E2EE6">
              <w:rPr>
                <w:rFonts w:ascii="宋体" w:eastAsia="宋体" w:hAnsi="宋体" w:hint="eastAsia"/>
                <w:sz w:val="18"/>
                <w:szCs w:val="18"/>
              </w:rPr>
              <w:t>架主体</w:t>
            </w:r>
            <w:proofErr w:type="gramEnd"/>
            <w:r w:rsidRPr="009E2EE6">
              <w:rPr>
                <w:rFonts w:ascii="宋体" w:eastAsia="宋体" w:hAnsi="宋体" w:hint="eastAsia"/>
                <w:sz w:val="18"/>
                <w:szCs w:val="18"/>
              </w:rPr>
              <w:t>升降采用四连杆机构，使用时电机接通220V、50HZ单相电源即可启动，带动油泵，经微电脑控制系统进行“功能”转换，油缸随即产生伸缩运动，从而使球架立柱升降和</w:t>
            </w:r>
            <w:proofErr w:type="gramStart"/>
            <w:r w:rsidRPr="009E2EE6">
              <w:rPr>
                <w:rFonts w:ascii="宋体" w:eastAsia="宋体" w:hAnsi="宋体" w:hint="eastAsia"/>
                <w:sz w:val="18"/>
                <w:szCs w:val="18"/>
              </w:rPr>
              <w:t>底座走轮起落</w:t>
            </w:r>
            <w:proofErr w:type="gramEnd"/>
            <w:r w:rsidRPr="009E2EE6">
              <w:rPr>
                <w:rFonts w:ascii="宋体" w:eastAsia="宋体" w:hAnsi="宋体" w:hint="eastAsia"/>
                <w:sz w:val="18"/>
                <w:szCs w:val="18"/>
              </w:rPr>
              <w:t>。</w:t>
            </w:r>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t>4、篮板</w:t>
            </w:r>
          </w:p>
          <w:p w:rsidR="009E2EE6" w:rsidRPr="009E2EE6" w:rsidRDefault="009E2EE6" w:rsidP="009E2EE6">
            <w:pPr>
              <w:spacing w:line="360" w:lineRule="auto"/>
              <w:ind w:firstLine="570"/>
              <w:textAlignment w:val="baseline"/>
              <w:rPr>
                <w:rFonts w:ascii="宋体" w:eastAsia="宋体" w:hAnsi="宋体"/>
                <w:sz w:val="18"/>
                <w:szCs w:val="18"/>
              </w:rPr>
            </w:pPr>
            <w:r w:rsidRPr="009E2EE6">
              <w:rPr>
                <w:rFonts w:ascii="宋体" w:eastAsia="宋体" w:hAnsi="宋体" w:hint="eastAsia"/>
                <w:sz w:val="18"/>
                <w:szCs w:val="18"/>
              </w:rPr>
              <w:t>篮板为五支点篮板，配用国际通用的高强度安全玻璃篮板（</w:t>
            </w:r>
            <w:smartTag w:uri="urn:schemas-microsoft-com:office:smarttags" w:element="chmetcnv">
              <w:r w:rsidRPr="009E2EE6">
                <w:rPr>
                  <w:rFonts w:ascii="宋体" w:eastAsia="宋体" w:hAnsi="宋体" w:hint="eastAsia"/>
                  <w:sz w:val="18"/>
                  <w:szCs w:val="18"/>
                </w:rPr>
                <w:t>13mm</w:t>
              </w:r>
            </w:smartTag>
            <w:r w:rsidRPr="009E2EE6">
              <w:rPr>
                <w:rFonts w:ascii="宋体" w:eastAsia="宋体" w:hAnsi="宋体" w:hint="eastAsia"/>
                <w:sz w:val="18"/>
                <w:szCs w:val="18"/>
              </w:rPr>
              <w:t>厚双层夹胶玻璃），规格：1800×1050（mm），具有透明度高、</w:t>
            </w:r>
            <w:proofErr w:type="gramStart"/>
            <w:r w:rsidRPr="009E2EE6">
              <w:rPr>
                <w:rFonts w:ascii="宋体" w:eastAsia="宋体" w:hAnsi="宋体" w:hint="eastAsia"/>
                <w:sz w:val="18"/>
                <w:szCs w:val="18"/>
              </w:rPr>
              <w:t>耐侯性</w:t>
            </w:r>
            <w:proofErr w:type="gramEnd"/>
            <w:r w:rsidRPr="009E2EE6">
              <w:rPr>
                <w:rFonts w:ascii="宋体" w:eastAsia="宋体" w:hAnsi="宋体" w:hint="eastAsia"/>
                <w:sz w:val="18"/>
                <w:szCs w:val="18"/>
              </w:rPr>
              <w:t>好、抗老化、耐腐蚀、不易模糊等特点，并在篮板下沿侧面覆盖有保护圈，保护圈前后表面高度、厚度均≥</w:t>
            </w:r>
            <w:smartTag w:uri="urn:schemas-microsoft-com:office:smarttags" w:element="chmetcnv">
              <w:r w:rsidRPr="009E2EE6">
                <w:rPr>
                  <w:rFonts w:ascii="宋体" w:eastAsia="宋体" w:hAnsi="宋体" w:hint="eastAsia"/>
                  <w:sz w:val="18"/>
                  <w:szCs w:val="18"/>
                </w:rPr>
                <w:t>20mm</w:t>
              </w:r>
            </w:smartTag>
            <w:r w:rsidRPr="009E2EE6">
              <w:rPr>
                <w:rFonts w:ascii="宋体" w:eastAsia="宋体" w:hAnsi="宋体" w:hint="eastAsia"/>
                <w:sz w:val="18"/>
                <w:szCs w:val="18"/>
              </w:rPr>
              <w:t>，底面厚度≥</w:t>
            </w:r>
            <w:smartTag w:uri="urn:schemas-microsoft-com:office:smarttags" w:element="chmetcnv">
              <w:r w:rsidRPr="009E2EE6">
                <w:rPr>
                  <w:rFonts w:ascii="宋体" w:eastAsia="宋体" w:hAnsi="宋体" w:hint="eastAsia"/>
                  <w:sz w:val="18"/>
                  <w:szCs w:val="18"/>
                </w:rPr>
                <w:t>50mm</w:t>
              </w:r>
            </w:smartTag>
            <w:r w:rsidRPr="009E2EE6">
              <w:rPr>
                <w:rFonts w:ascii="宋体" w:eastAsia="宋体" w:hAnsi="宋体" w:hint="eastAsia"/>
                <w:sz w:val="18"/>
                <w:szCs w:val="18"/>
              </w:rPr>
              <w:t>，符合FIBA规则，能有效保护运动员扣篮时不受伤害。</w:t>
            </w:r>
          </w:p>
          <w:p w:rsidR="009E2EE6" w:rsidRPr="009E2EE6" w:rsidRDefault="009E2EE6" w:rsidP="009E2EE6">
            <w:pPr>
              <w:spacing w:line="360" w:lineRule="auto"/>
              <w:ind w:firstLine="570"/>
              <w:textAlignment w:val="baseline"/>
              <w:rPr>
                <w:rFonts w:ascii="宋体" w:eastAsia="宋体" w:hAnsi="宋体"/>
                <w:sz w:val="18"/>
                <w:szCs w:val="18"/>
              </w:rPr>
            </w:pPr>
            <w:r w:rsidRPr="009E2EE6">
              <w:rPr>
                <w:rFonts w:ascii="宋体" w:eastAsia="宋体" w:hAnsi="宋体" w:hint="eastAsia"/>
                <w:sz w:val="18"/>
                <w:szCs w:val="18"/>
              </w:rPr>
              <w:t>篮板弹性500N/min，中心挠度≤6mm，取消外力1min后篮板恢复原状。</w:t>
            </w:r>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t>5、篮圈</w:t>
            </w:r>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lastRenderedPageBreak/>
              <w:t xml:space="preserve">    篮圈采用φ19实心圆钢制作，篮圈抗弯性能好，在篮圈最远点的圈顶上施加静载荷未到</w:t>
            </w:r>
            <w:smartTag w:uri="urn:schemas-microsoft-com:office:smarttags" w:element="chmetcnv">
              <w:r w:rsidRPr="009E2EE6">
                <w:rPr>
                  <w:rFonts w:ascii="宋体" w:eastAsia="宋体" w:hAnsi="宋体" w:hint="eastAsia"/>
                  <w:sz w:val="18"/>
                  <w:szCs w:val="18"/>
                </w:rPr>
                <w:t>105kg</w:t>
              </w:r>
            </w:smartTag>
            <w:r w:rsidRPr="009E2EE6">
              <w:rPr>
                <w:rFonts w:ascii="宋体" w:eastAsia="宋体" w:hAnsi="宋体" w:hint="eastAsia"/>
                <w:sz w:val="18"/>
                <w:szCs w:val="18"/>
              </w:rPr>
              <w:t>时，篮圈无转动，当静载荷≥</w:t>
            </w:r>
            <w:smartTag w:uri="urn:schemas-microsoft-com:office:smarttags" w:element="chmetcnv">
              <w:r w:rsidRPr="009E2EE6">
                <w:rPr>
                  <w:rFonts w:ascii="宋体" w:eastAsia="宋体" w:hAnsi="宋体" w:hint="eastAsia"/>
                  <w:sz w:val="18"/>
                  <w:szCs w:val="18"/>
                </w:rPr>
                <w:t>105kg</w:t>
              </w:r>
            </w:smartTag>
            <w:r w:rsidRPr="009E2EE6">
              <w:rPr>
                <w:rFonts w:ascii="宋体" w:eastAsia="宋体" w:hAnsi="宋体" w:hint="eastAsia"/>
                <w:sz w:val="18"/>
                <w:szCs w:val="18"/>
              </w:rPr>
              <w:t>时，篮圈向下转动，角度不超过30度，能有效解决投篮时篮圈的稳定性和运动员扣篮时的安全性问题。</w:t>
            </w:r>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t>6、防护措施</w:t>
            </w:r>
          </w:p>
          <w:p w:rsidR="009E2EE6" w:rsidRPr="009E2EE6" w:rsidRDefault="009E2EE6" w:rsidP="009E2EE6">
            <w:pPr>
              <w:spacing w:line="360" w:lineRule="auto"/>
              <w:ind w:firstLine="570"/>
              <w:textAlignment w:val="baseline"/>
              <w:rPr>
                <w:rFonts w:ascii="宋体" w:eastAsia="宋体" w:hAnsi="宋体"/>
                <w:sz w:val="18"/>
                <w:szCs w:val="18"/>
              </w:rPr>
            </w:pPr>
            <w:proofErr w:type="gramStart"/>
            <w:r w:rsidRPr="009E2EE6">
              <w:rPr>
                <w:rFonts w:ascii="宋体" w:eastAsia="宋体" w:hAnsi="宋体" w:hint="eastAsia"/>
                <w:sz w:val="18"/>
                <w:szCs w:val="18"/>
              </w:rPr>
              <w:t>篮</w:t>
            </w:r>
            <w:proofErr w:type="gramEnd"/>
            <w:r w:rsidRPr="009E2EE6">
              <w:rPr>
                <w:rFonts w:ascii="宋体" w:eastAsia="宋体" w:hAnsi="宋体" w:hint="eastAsia"/>
                <w:sz w:val="18"/>
                <w:szCs w:val="18"/>
              </w:rPr>
              <w:t>架前立柱、底座、伸臂配备有专用护套，能有效保护运动员免受撞击，篮架底座下部设有防震垫，后部装有特制专用配重，单只配重</w:t>
            </w:r>
            <w:smartTag w:uri="urn:schemas-microsoft-com:office:smarttags" w:element="chmetcnv">
              <w:r w:rsidRPr="009E2EE6">
                <w:rPr>
                  <w:rFonts w:ascii="宋体" w:eastAsia="宋体" w:hAnsi="宋体" w:hint="eastAsia"/>
                  <w:sz w:val="18"/>
                  <w:szCs w:val="18"/>
                </w:rPr>
                <w:t>500kg</w:t>
              </w:r>
            </w:smartTag>
            <w:r w:rsidRPr="009E2EE6">
              <w:rPr>
                <w:rFonts w:ascii="宋体" w:eastAsia="宋体" w:hAnsi="宋体" w:hint="eastAsia"/>
                <w:sz w:val="18"/>
                <w:szCs w:val="18"/>
              </w:rPr>
              <w:t>，能保证在篮圈根部施加3200N的载荷时，篮球架不倾翻。前立柱与伸臂间装有专用保险机构，能有效保证使用时的安全性及美观性。</w:t>
            </w:r>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t>7、爬坡功能</w:t>
            </w:r>
          </w:p>
          <w:p w:rsidR="009E2EE6" w:rsidRPr="009E2EE6" w:rsidRDefault="009E2EE6" w:rsidP="009E2EE6">
            <w:pPr>
              <w:spacing w:line="360" w:lineRule="auto"/>
              <w:ind w:firstLineChars="200" w:firstLine="360"/>
              <w:textAlignment w:val="baseline"/>
              <w:rPr>
                <w:rFonts w:ascii="宋体" w:eastAsia="宋体" w:hAnsi="宋体"/>
                <w:sz w:val="18"/>
                <w:szCs w:val="18"/>
              </w:rPr>
            </w:pPr>
            <w:r w:rsidRPr="009E2EE6">
              <w:rPr>
                <w:rFonts w:ascii="宋体" w:eastAsia="宋体" w:hAnsi="宋体" w:hint="eastAsia"/>
                <w:sz w:val="18"/>
                <w:szCs w:val="18"/>
              </w:rPr>
              <w:t>底座除了本身的</w:t>
            </w:r>
            <w:proofErr w:type="gramStart"/>
            <w:r w:rsidRPr="009E2EE6">
              <w:rPr>
                <w:rFonts w:ascii="宋体" w:eastAsia="宋体" w:hAnsi="宋体" w:hint="eastAsia"/>
                <w:sz w:val="18"/>
                <w:szCs w:val="18"/>
              </w:rPr>
              <w:t>走轮机构</w:t>
            </w:r>
            <w:proofErr w:type="gramEnd"/>
            <w:r w:rsidRPr="009E2EE6">
              <w:rPr>
                <w:rFonts w:ascii="宋体" w:eastAsia="宋体" w:hAnsi="宋体" w:hint="eastAsia"/>
                <w:sz w:val="18"/>
                <w:szCs w:val="18"/>
              </w:rPr>
              <w:t>外，为了</w:t>
            </w:r>
            <w:proofErr w:type="gramStart"/>
            <w:r w:rsidRPr="009E2EE6">
              <w:rPr>
                <w:rFonts w:ascii="宋体" w:eastAsia="宋体" w:hAnsi="宋体" w:hint="eastAsia"/>
                <w:sz w:val="18"/>
                <w:szCs w:val="18"/>
              </w:rPr>
              <w:t>方便爬较</w:t>
            </w:r>
            <w:proofErr w:type="gramEnd"/>
            <w:r w:rsidRPr="009E2EE6">
              <w:rPr>
                <w:rFonts w:ascii="宋体" w:eastAsia="宋体" w:hAnsi="宋体" w:hint="eastAsia"/>
                <w:sz w:val="18"/>
                <w:szCs w:val="18"/>
              </w:rPr>
              <w:t>陡的斜坡，在底座的后侧又</w:t>
            </w:r>
            <w:proofErr w:type="gramStart"/>
            <w:r w:rsidRPr="009E2EE6">
              <w:rPr>
                <w:rFonts w:ascii="宋体" w:eastAsia="宋体" w:hAnsi="宋体" w:hint="eastAsia"/>
                <w:sz w:val="18"/>
                <w:szCs w:val="18"/>
              </w:rPr>
              <w:t>另设计</w:t>
            </w:r>
            <w:proofErr w:type="gramEnd"/>
            <w:r w:rsidRPr="009E2EE6">
              <w:rPr>
                <w:rFonts w:ascii="宋体" w:eastAsia="宋体" w:hAnsi="宋体" w:hint="eastAsia"/>
                <w:sz w:val="18"/>
                <w:szCs w:val="18"/>
              </w:rPr>
              <w:t>有一专用爬坡轮，使用时，安装方便。</w:t>
            </w:r>
          </w:p>
          <w:p w:rsidR="009E2EE6" w:rsidRPr="009E2EE6" w:rsidRDefault="009E2EE6" w:rsidP="009E2EE6">
            <w:pPr>
              <w:spacing w:line="360" w:lineRule="auto"/>
              <w:textAlignment w:val="baseline"/>
              <w:rPr>
                <w:rFonts w:ascii="宋体" w:eastAsia="宋体" w:hAnsi="宋体"/>
                <w:sz w:val="18"/>
                <w:szCs w:val="18"/>
              </w:rPr>
            </w:pPr>
            <w:r w:rsidRPr="009E2EE6">
              <w:rPr>
                <w:rFonts w:ascii="宋体" w:eastAsia="宋体" w:hAnsi="宋体" w:hint="eastAsia"/>
                <w:sz w:val="18"/>
                <w:szCs w:val="18"/>
              </w:rPr>
              <w:t>8、表面处理</w:t>
            </w:r>
          </w:p>
          <w:p w:rsidR="009E2EE6" w:rsidRDefault="009E2EE6" w:rsidP="009E2EE6">
            <w:pPr>
              <w:textAlignment w:val="baseline"/>
              <w:rPr>
                <w:rFonts w:ascii="宋体" w:eastAsia="宋体" w:hAnsi="宋体" w:hint="eastAsia"/>
                <w:sz w:val="18"/>
                <w:szCs w:val="18"/>
              </w:rPr>
            </w:pPr>
            <w:r w:rsidRPr="009E2EE6">
              <w:rPr>
                <w:rFonts w:ascii="宋体" w:eastAsia="宋体" w:hAnsi="宋体" w:hint="eastAsia"/>
                <w:sz w:val="18"/>
                <w:szCs w:val="18"/>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w:t>
            </w:r>
          </w:p>
          <w:p w:rsidR="00233009" w:rsidRDefault="00233009" w:rsidP="009E2EE6">
            <w:pPr>
              <w:textAlignment w:val="baseline"/>
              <w:rPr>
                <w:rFonts w:ascii="宋体" w:eastAsia="宋体" w:hAnsi="宋体" w:hint="eastAsia"/>
                <w:sz w:val="18"/>
                <w:szCs w:val="18"/>
              </w:rPr>
            </w:pPr>
          </w:p>
          <w:p w:rsidR="00233009" w:rsidRDefault="00233009" w:rsidP="009E2EE6">
            <w:pPr>
              <w:textAlignment w:val="baseline"/>
              <w:rPr>
                <w:rFonts w:ascii="宋体" w:eastAsia="宋体" w:hAnsi="宋体" w:hint="eastAsia"/>
                <w:sz w:val="18"/>
                <w:szCs w:val="18"/>
              </w:rPr>
            </w:pPr>
          </w:p>
          <w:p w:rsidR="00233009" w:rsidRPr="00233009" w:rsidRDefault="00233009" w:rsidP="009E2EE6">
            <w:pPr>
              <w:textAlignment w:val="baseline"/>
              <w:rPr>
                <w:rFonts w:ascii="宋体" w:eastAsia="宋体" w:hAnsi="宋体" w:hint="eastAsia"/>
                <w:b/>
                <w:sz w:val="18"/>
                <w:szCs w:val="18"/>
              </w:rPr>
            </w:pPr>
            <w:r w:rsidRPr="00233009">
              <w:rPr>
                <w:rFonts w:ascii="宋体" w:eastAsia="宋体" w:hAnsi="宋体" w:hint="eastAsia"/>
                <w:b/>
                <w:sz w:val="18"/>
                <w:szCs w:val="18"/>
              </w:rPr>
              <w:t>二、悬臂固定篮球架</w:t>
            </w:r>
          </w:p>
          <w:p w:rsidR="00233009" w:rsidRDefault="00233009" w:rsidP="009E2EE6">
            <w:pPr>
              <w:textAlignment w:val="baseline"/>
              <w:rPr>
                <w:rFonts w:ascii="宋体" w:eastAsia="宋体" w:hAnsi="宋体"/>
                <w:sz w:val="18"/>
                <w:szCs w:val="18"/>
              </w:rPr>
            </w:pPr>
          </w:p>
          <w:p w:rsidR="00233009" w:rsidRPr="00233009" w:rsidRDefault="00233009" w:rsidP="00233009">
            <w:pPr>
              <w:textAlignment w:val="baseline"/>
              <w:rPr>
                <w:rFonts w:ascii="宋体" w:eastAsia="宋体" w:hAnsi="宋体"/>
                <w:sz w:val="18"/>
                <w:szCs w:val="18"/>
              </w:rPr>
            </w:pPr>
            <w:r w:rsidRPr="00233009">
              <w:rPr>
                <w:rFonts w:ascii="宋体" w:eastAsia="宋体" w:hAnsi="宋体" w:hint="eastAsia"/>
                <w:sz w:val="18"/>
                <w:szCs w:val="18"/>
              </w:rPr>
              <w:t>参数要求：</w:t>
            </w:r>
          </w:p>
          <w:p w:rsidR="00233009" w:rsidRPr="00233009" w:rsidRDefault="00233009" w:rsidP="00233009">
            <w:pPr>
              <w:textAlignment w:val="baseline"/>
              <w:rPr>
                <w:rFonts w:ascii="宋体" w:eastAsia="宋体" w:hAnsi="宋体"/>
                <w:sz w:val="18"/>
                <w:szCs w:val="18"/>
              </w:rPr>
            </w:pPr>
            <w:r w:rsidRPr="00233009">
              <w:rPr>
                <w:rFonts w:ascii="宋体" w:eastAsia="宋体" w:hAnsi="宋体"/>
                <w:sz w:val="18"/>
                <w:szCs w:val="18"/>
              </w:rPr>
              <w:t>1、产品规格</w:t>
            </w:r>
          </w:p>
          <w:p w:rsidR="00233009" w:rsidRPr="00233009" w:rsidRDefault="00233009" w:rsidP="00233009">
            <w:pPr>
              <w:textAlignment w:val="baseline"/>
              <w:rPr>
                <w:rFonts w:ascii="宋体" w:eastAsia="宋体" w:hAnsi="宋体"/>
                <w:sz w:val="18"/>
                <w:szCs w:val="18"/>
              </w:rPr>
            </w:pPr>
            <w:r w:rsidRPr="00233009">
              <w:rPr>
                <w:rFonts w:ascii="宋体" w:eastAsia="宋体" w:hAnsi="宋体" w:hint="eastAsia"/>
                <w:sz w:val="18"/>
                <w:szCs w:val="18"/>
              </w:rPr>
              <w:t>篮球架伸臂长</w:t>
            </w:r>
            <w:r w:rsidRPr="00233009">
              <w:rPr>
                <w:rFonts w:ascii="宋体" w:eastAsia="宋体" w:hAnsi="宋体"/>
                <w:sz w:val="18"/>
                <w:szCs w:val="18"/>
              </w:rPr>
              <w:t xml:space="preserve">2.25m以内（特制），篮圈上沿离地面3.05m， </w:t>
            </w:r>
          </w:p>
          <w:p w:rsidR="00233009" w:rsidRPr="00233009" w:rsidRDefault="00233009" w:rsidP="00233009">
            <w:pPr>
              <w:textAlignment w:val="baseline"/>
              <w:rPr>
                <w:rFonts w:ascii="宋体" w:eastAsia="宋体" w:hAnsi="宋体"/>
                <w:sz w:val="18"/>
                <w:szCs w:val="18"/>
              </w:rPr>
            </w:pPr>
            <w:r w:rsidRPr="00233009">
              <w:rPr>
                <w:rFonts w:ascii="宋体" w:eastAsia="宋体" w:hAnsi="宋体"/>
                <w:sz w:val="18"/>
                <w:szCs w:val="18"/>
              </w:rPr>
              <w:t>2、产品用材</w:t>
            </w:r>
          </w:p>
          <w:p w:rsidR="00233009" w:rsidRPr="00233009" w:rsidRDefault="00233009" w:rsidP="00233009">
            <w:pPr>
              <w:textAlignment w:val="baseline"/>
              <w:rPr>
                <w:rFonts w:ascii="宋体" w:eastAsia="宋体" w:hAnsi="宋体"/>
                <w:sz w:val="18"/>
                <w:szCs w:val="18"/>
              </w:rPr>
            </w:pPr>
            <w:r w:rsidRPr="00233009">
              <w:rPr>
                <w:rFonts w:ascii="宋体" w:eastAsia="宋体" w:hAnsi="宋体" w:hint="eastAsia"/>
                <w:sz w:val="18"/>
                <w:szCs w:val="18"/>
              </w:rPr>
              <w:t>篮架伸臂采用δ</w:t>
            </w:r>
            <w:r w:rsidRPr="00233009">
              <w:rPr>
                <w:rFonts w:ascii="宋体" w:eastAsia="宋体" w:hAnsi="宋体"/>
                <w:sz w:val="18"/>
                <w:szCs w:val="18"/>
              </w:rPr>
              <w:t>3铁板在专用折边机上折边拼焊而成，篮架上拉杆采用Φ48×2圆管在弯管机上一次成型，通过优质精密铸钢件接头与篮板耳片连接，通过调节上拉杆可调节篮板的平面度和垂直度。篮架后拉杆采用优质口50×40×3方管在弯管机上一次而成，通过化学螺栓与墙体固定，后拉杆上有调节螺丝可调节调节伸臂的水平和篮板垂直度。</w:t>
            </w:r>
          </w:p>
          <w:p w:rsidR="00233009" w:rsidRPr="00233009" w:rsidRDefault="00233009" w:rsidP="00233009">
            <w:pPr>
              <w:textAlignment w:val="baseline"/>
              <w:rPr>
                <w:rFonts w:ascii="宋体" w:eastAsia="宋体" w:hAnsi="宋体"/>
                <w:sz w:val="18"/>
                <w:szCs w:val="18"/>
              </w:rPr>
            </w:pPr>
            <w:r w:rsidRPr="00233009">
              <w:rPr>
                <w:rFonts w:ascii="宋体" w:eastAsia="宋体" w:hAnsi="宋体"/>
                <w:sz w:val="18"/>
                <w:szCs w:val="18"/>
              </w:rPr>
              <w:t>3、篮板</w:t>
            </w:r>
          </w:p>
          <w:p w:rsidR="00233009" w:rsidRPr="00233009" w:rsidRDefault="00233009" w:rsidP="00233009">
            <w:pPr>
              <w:textAlignment w:val="baseline"/>
              <w:rPr>
                <w:rFonts w:ascii="宋体" w:eastAsia="宋体" w:hAnsi="宋体"/>
                <w:sz w:val="18"/>
                <w:szCs w:val="18"/>
              </w:rPr>
            </w:pPr>
            <w:r w:rsidRPr="00233009">
              <w:rPr>
                <w:rFonts w:ascii="宋体" w:eastAsia="宋体" w:hAnsi="宋体" w:hint="eastAsia"/>
                <w:sz w:val="18"/>
                <w:szCs w:val="18"/>
              </w:rPr>
              <w:t>规格：</w:t>
            </w:r>
            <w:r w:rsidRPr="00233009">
              <w:rPr>
                <w:rFonts w:ascii="宋体" w:eastAsia="宋体" w:hAnsi="宋体"/>
                <w:sz w:val="18"/>
                <w:szCs w:val="18"/>
              </w:rPr>
              <w:t>1800x1050（mm），篮板配用国际通用的高强度安全玻璃篮板，具有透明度高、</w:t>
            </w:r>
            <w:proofErr w:type="gramStart"/>
            <w:r w:rsidRPr="00233009">
              <w:rPr>
                <w:rFonts w:ascii="宋体" w:eastAsia="宋体" w:hAnsi="宋体"/>
                <w:sz w:val="18"/>
                <w:szCs w:val="18"/>
              </w:rPr>
              <w:t>耐侯性</w:t>
            </w:r>
            <w:proofErr w:type="gramEnd"/>
            <w:r w:rsidRPr="00233009">
              <w:rPr>
                <w:rFonts w:ascii="宋体" w:eastAsia="宋体" w:hAnsi="宋体"/>
                <w:sz w:val="18"/>
                <w:szCs w:val="18"/>
              </w:rPr>
              <w:t>好、抗老化、耐腐蚀、不易模糊等特点，并在篮板下沿侧面覆盖有包扎物，能保护运动员运动时不受伤害。</w:t>
            </w:r>
          </w:p>
          <w:p w:rsidR="00233009" w:rsidRPr="00233009" w:rsidRDefault="00233009" w:rsidP="00233009">
            <w:pPr>
              <w:textAlignment w:val="baseline"/>
              <w:rPr>
                <w:rFonts w:ascii="宋体" w:eastAsia="宋体" w:hAnsi="宋体"/>
                <w:sz w:val="18"/>
                <w:szCs w:val="18"/>
              </w:rPr>
            </w:pPr>
            <w:r w:rsidRPr="00233009">
              <w:rPr>
                <w:rFonts w:ascii="宋体" w:eastAsia="宋体" w:hAnsi="宋体"/>
                <w:sz w:val="18"/>
                <w:szCs w:val="18"/>
              </w:rPr>
              <w:t>4、篮圈</w:t>
            </w:r>
          </w:p>
          <w:p w:rsidR="00233009" w:rsidRPr="00233009" w:rsidRDefault="00233009" w:rsidP="00233009">
            <w:pPr>
              <w:textAlignment w:val="baseline"/>
              <w:rPr>
                <w:rFonts w:ascii="宋体" w:eastAsia="宋体" w:hAnsi="宋体"/>
                <w:sz w:val="18"/>
                <w:szCs w:val="18"/>
              </w:rPr>
            </w:pPr>
            <w:r w:rsidRPr="00233009">
              <w:rPr>
                <w:rFonts w:ascii="宋体" w:eastAsia="宋体" w:hAnsi="宋体" w:hint="eastAsia"/>
                <w:sz w:val="18"/>
                <w:szCs w:val="18"/>
              </w:rPr>
              <w:t>篮圈采用φ</w:t>
            </w:r>
            <w:r w:rsidRPr="00233009">
              <w:rPr>
                <w:rFonts w:ascii="宋体" w:eastAsia="宋体" w:hAnsi="宋体"/>
                <w:sz w:val="18"/>
                <w:szCs w:val="18"/>
              </w:rPr>
              <w:t>17实心圆钢制作，内径为450mm。</w:t>
            </w:r>
            <w:proofErr w:type="gramStart"/>
            <w:r w:rsidRPr="00233009">
              <w:rPr>
                <w:rFonts w:ascii="宋体" w:eastAsia="宋体" w:hAnsi="宋体"/>
                <w:sz w:val="18"/>
                <w:szCs w:val="18"/>
              </w:rPr>
              <w:t>篮</w:t>
            </w:r>
            <w:proofErr w:type="gramEnd"/>
            <w:r w:rsidRPr="00233009">
              <w:rPr>
                <w:rFonts w:ascii="宋体" w:eastAsia="宋体" w:hAnsi="宋体"/>
                <w:sz w:val="18"/>
                <w:szCs w:val="18"/>
              </w:rPr>
              <w:t>圈圈条下沿焊有4毫米圆钢，圆钢间隔均匀设置成小环状，共12处，以便悬挂篮网。篮圈水平固定在篮板上，</w:t>
            </w:r>
            <w:proofErr w:type="gramStart"/>
            <w:r w:rsidRPr="00233009">
              <w:rPr>
                <w:rFonts w:ascii="宋体" w:eastAsia="宋体" w:hAnsi="宋体"/>
                <w:sz w:val="18"/>
                <w:szCs w:val="18"/>
              </w:rPr>
              <w:t>与篮架</w:t>
            </w:r>
            <w:proofErr w:type="gramEnd"/>
            <w:r w:rsidRPr="00233009">
              <w:rPr>
                <w:rFonts w:ascii="宋体" w:eastAsia="宋体" w:hAnsi="宋体"/>
                <w:sz w:val="18"/>
                <w:szCs w:val="18"/>
              </w:rPr>
              <w:t>连接的钢板采用优质钢板一次冲压成型，造型美观。</w:t>
            </w:r>
          </w:p>
          <w:p w:rsidR="00233009" w:rsidRPr="00233009" w:rsidRDefault="00233009" w:rsidP="00233009">
            <w:pPr>
              <w:textAlignment w:val="baseline"/>
              <w:rPr>
                <w:rFonts w:ascii="宋体" w:eastAsia="宋体" w:hAnsi="宋体"/>
                <w:sz w:val="18"/>
                <w:szCs w:val="18"/>
              </w:rPr>
            </w:pPr>
            <w:r w:rsidRPr="00233009">
              <w:rPr>
                <w:rFonts w:ascii="宋体" w:eastAsia="宋体" w:hAnsi="宋体"/>
                <w:sz w:val="18"/>
                <w:szCs w:val="18"/>
              </w:rPr>
              <w:t>5、表面处理</w:t>
            </w:r>
          </w:p>
          <w:p w:rsidR="00233009" w:rsidRPr="00233009" w:rsidRDefault="00233009" w:rsidP="00233009">
            <w:pPr>
              <w:textAlignment w:val="baseline"/>
              <w:rPr>
                <w:rFonts w:ascii="宋体" w:eastAsia="宋体" w:hAnsi="宋体"/>
                <w:sz w:val="18"/>
                <w:szCs w:val="18"/>
              </w:rPr>
            </w:pPr>
            <w:r w:rsidRPr="00233009">
              <w:rPr>
                <w:rFonts w:ascii="宋体" w:eastAsia="宋体" w:hAnsi="宋体" w:hint="eastAsia"/>
                <w:sz w:val="18"/>
                <w:szCs w:val="18"/>
              </w:rPr>
              <w:t>喷涂工件的表面处理分二个阶段，前处理阶段使工件获得质量优良的介质层，增加防锈涂膜与金属基体</w:t>
            </w:r>
            <w:r w:rsidRPr="00233009">
              <w:rPr>
                <w:rFonts w:ascii="宋体" w:eastAsia="宋体" w:hAnsi="宋体" w:hint="eastAsia"/>
                <w:sz w:val="18"/>
                <w:szCs w:val="18"/>
              </w:rPr>
              <w:lastRenderedPageBreak/>
              <w:t>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w:t>
            </w:r>
            <w:r w:rsidRPr="00233009">
              <w:rPr>
                <w:rFonts w:ascii="宋体" w:eastAsia="宋体" w:hAnsi="宋体"/>
                <w:sz w:val="18"/>
                <w:szCs w:val="18"/>
              </w:rPr>
              <w:t>70—80um，铅笔硬度达3H+。产品具有耐酸碱、耐湿热、抗老化、外观美观等优点，能适合潮湿和</w:t>
            </w:r>
            <w:r w:rsidRPr="00233009">
              <w:rPr>
                <w:rFonts w:ascii="宋体" w:eastAsia="宋体" w:hAnsi="宋体" w:hint="eastAsia"/>
                <w:sz w:val="18"/>
                <w:szCs w:val="18"/>
              </w:rPr>
              <w:t>酸雨环境，且前处理过程以及产品涂料配方均不含有毒元素，避免损害使用者的健康。</w:t>
            </w:r>
            <w:r w:rsidRPr="00233009">
              <w:rPr>
                <w:rFonts w:ascii="宋体" w:eastAsia="宋体" w:hAnsi="宋体"/>
                <w:sz w:val="18"/>
                <w:szCs w:val="18"/>
              </w:rPr>
              <w:t xml:space="preserve">               </w:t>
            </w:r>
          </w:p>
          <w:p w:rsidR="00233009" w:rsidRPr="00233009" w:rsidRDefault="00233009" w:rsidP="00233009">
            <w:pPr>
              <w:textAlignment w:val="baseline"/>
              <w:rPr>
                <w:rFonts w:ascii="宋体" w:eastAsia="宋体" w:hAnsi="宋体"/>
                <w:sz w:val="18"/>
                <w:szCs w:val="18"/>
              </w:rPr>
            </w:pPr>
            <w:r w:rsidRPr="00233009">
              <w:rPr>
                <w:rFonts w:ascii="宋体" w:eastAsia="宋体" w:hAnsi="宋体"/>
                <w:sz w:val="18"/>
                <w:szCs w:val="18"/>
              </w:rPr>
              <w:t>6、墙体要求</w:t>
            </w:r>
          </w:p>
          <w:p w:rsidR="0001738E" w:rsidRDefault="00233009" w:rsidP="00233009">
            <w:pPr>
              <w:textAlignment w:val="baseline"/>
              <w:rPr>
                <w:rFonts w:ascii="宋体" w:eastAsia="宋体" w:hAnsi="宋体"/>
                <w:sz w:val="18"/>
                <w:szCs w:val="18"/>
              </w:rPr>
            </w:pPr>
            <w:r w:rsidRPr="00233009">
              <w:rPr>
                <w:rFonts w:ascii="宋体" w:eastAsia="宋体" w:hAnsi="宋体" w:hint="eastAsia"/>
                <w:sz w:val="18"/>
                <w:szCs w:val="18"/>
              </w:rPr>
              <w:t>篮架安装可采用特制专用预埋件预埋在强体内，也可通过化学螺栓将其伸臂底板与墙面紧固连接，要求：墙体是混凝土钢结构，墙体除了能承受</w:t>
            </w:r>
            <w:proofErr w:type="gramStart"/>
            <w:r w:rsidRPr="00233009">
              <w:rPr>
                <w:rFonts w:ascii="宋体" w:eastAsia="宋体" w:hAnsi="宋体" w:hint="eastAsia"/>
                <w:sz w:val="18"/>
                <w:szCs w:val="18"/>
              </w:rPr>
              <w:t>篮架约</w:t>
            </w:r>
            <w:proofErr w:type="gramEnd"/>
            <w:r w:rsidRPr="00233009">
              <w:rPr>
                <w:rFonts w:ascii="宋体" w:eastAsia="宋体" w:hAnsi="宋体"/>
                <w:sz w:val="18"/>
                <w:szCs w:val="18"/>
              </w:rPr>
              <w:t>200KG的自重外,还应能承受约250KG的扣篮冲击力。</w:t>
            </w: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b/>
                <w:bCs/>
                <w:sz w:val="18"/>
                <w:szCs w:val="18"/>
              </w:rPr>
            </w:pPr>
          </w:p>
          <w:p w:rsidR="0001738E" w:rsidRDefault="0001738E">
            <w:pPr>
              <w:textAlignment w:val="baseline"/>
              <w:rPr>
                <w:rFonts w:ascii="宋体" w:eastAsia="宋体" w:hAnsi="宋体"/>
                <w:sz w:val="20"/>
                <w:szCs w:val="21"/>
              </w:rPr>
            </w:pPr>
          </w:p>
          <w:p w:rsidR="0001738E" w:rsidRDefault="009D7B74" w:rsidP="00233009">
            <w:pPr>
              <w:textAlignment w:val="baseline"/>
              <w:rPr>
                <w:rFonts w:ascii="宋体" w:eastAsia="宋体" w:hAnsi="宋体"/>
                <w:sz w:val="28"/>
                <w:szCs w:val="28"/>
              </w:rPr>
            </w:pPr>
            <w:r>
              <w:rPr>
                <w:rFonts w:ascii="宋体" w:eastAsia="宋体" w:hAnsi="宋体" w:hint="eastAsia"/>
                <w:sz w:val="28"/>
                <w:szCs w:val="28"/>
              </w:rPr>
              <w:t xml:space="preserve">　　　　　　　　　　　　　　　　　 </w:t>
            </w:r>
            <w:r w:rsidR="00233009">
              <w:rPr>
                <w:rFonts w:ascii="宋体" w:eastAsia="宋体" w:hAnsi="宋体" w:hint="eastAsia"/>
                <w:sz w:val="28"/>
                <w:szCs w:val="28"/>
              </w:rPr>
              <w:t xml:space="preserve"> </w:t>
            </w:r>
          </w:p>
        </w:tc>
      </w:tr>
    </w:tbl>
    <w:p w:rsidR="0001738E" w:rsidRDefault="00233009" w:rsidP="00775924">
      <w:pPr>
        <w:ind w:leftChars="-1" w:left="243" w:hangingChars="136" w:hanging="245"/>
        <w:textAlignment w:val="baseline"/>
        <w:rPr>
          <w:rFonts w:ascii="宋体" w:eastAsia="宋体" w:hAnsi="宋体"/>
          <w:sz w:val="18"/>
          <w:szCs w:val="18"/>
        </w:rPr>
      </w:pPr>
      <w:r>
        <w:rPr>
          <w:rFonts w:ascii="宋体" w:eastAsia="宋体" w:hAnsi="宋体" w:hint="eastAsia"/>
          <w:sz w:val="18"/>
          <w:szCs w:val="18"/>
        </w:rPr>
        <w:lastRenderedPageBreak/>
        <w:t xml:space="preserve"> </w:t>
      </w:r>
    </w:p>
    <w:sectPr w:rsidR="0001738E" w:rsidSect="000173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7D" w:rsidRDefault="00CC1E7D" w:rsidP="009E2EE6">
      <w:r>
        <w:separator/>
      </w:r>
    </w:p>
  </w:endnote>
  <w:endnote w:type="continuationSeparator" w:id="0">
    <w:p w:rsidR="00CC1E7D" w:rsidRDefault="00CC1E7D" w:rsidP="009E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7D" w:rsidRDefault="00CC1E7D" w:rsidP="009E2EE6">
      <w:r>
        <w:separator/>
      </w:r>
    </w:p>
  </w:footnote>
  <w:footnote w:type="continuationSeparator" w:id="0">
    <w:p w:rsidR="00CC1E7D" w:rsidRDefault="00CC1E7D" w:rsidP="009E2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958EF"/>
    <w:multiLevelType w:val="hybridMultilevel"/>
    <w:tmpl w:val="E25451E6"/>
    <w:lvl w:ilvl="0" w:tplc="36942B84">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17FC"/>
    <w:rsid w:val="0001738E"/>
    <w:rsid w:val="00077372"/>
    <w:rsid w:val="0011746F"/>
    <w:rsid w:val="00186968"/>
    <w:rsid w:val="00233009"/>
    <w:rsid w:val="003372BD"/>
    <w:rsid w:val="00775924"/>
    <w:rsid w:val="007C0E4C"/>
    <w:rsid w:val="0085369C"/>
    <w:rsid w:val="009917FC"/>
    <w:rsid w:val="009D7B74"/>
    <w:rsid w:val="009E2EE6"/>
    <w:rsid w:val="00CC1E7D"/>
    <w:rsid w:val="00F06A8F"/>
    <w:rsid w:val="04992CE7"/>
    <w:rsid w:val="0E0906D5"/>
    <w:rsid w:val="1CE92049"/>
    <w:rsid w:val="25D77F44"/>
    <w:rsid w:val="382363E0"/>
    <w:rsid w:val="43E92A14"/>
    <w:rsid w:val="4F6D4AE8"/>
    <w:rsid w:val="50482B05"/>
    <w:rsid w:val="5317567C"/>
    <w:rsid w:val="64FB6A36"/>
    <w:rsid w:val="71AD45FA"/>
    <w:rsid w:val="74041D09"/>
    <w:rsid w:val="760C3FE6"/>
    <w:rsid w:val="78C3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01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9E2E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E2EE6"/>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9E2EE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E2EE6"/>
    <w:rPr>
      <w:rFonts w:asciiTheme="minorHAnsi" w:eastAsiaTheme="minorEastAsia" w:hAnsiTheme="minorHAnsi" w:cstheme="minorBidi"/>
      <w:kern w:val="2"/>
      <w:sz w:val="18"/>
      <w:szCs w:val="18"/>
    </w:rPr>
  </w:style>
  <w:style w:type="paragraph" w:styleId="a6">
    <w:name w:val="List Paragraph"/>
    <w:basedOn w:val="a"/>
    <w:uiPriority w:val="99"/>
    <w:unhideWhenUsed/>
    <w:rsid w:val="0023300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336</Words>
  <Characters>1919</Characters>
  <Application>Microsoft Office Word</Application>
  <DocSecurity>0</DocSecurity>
  <Lines>15</Lines>
  <Paragraphs>4</Paragraphs>
  <ScaleCrop>false</ScaleCrop>
  <Company>南京中医药大学</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cp:revision>
  <cp:lastPrinted>2020-11-04T02:12:00Z</cp:lastPrinted>
  <dcterms:created xsi:type="dcterms:W3CDTF">2021-05-24T06:47:00Z</dcterms:created>
  <dcterms:modified xsi:type="dcterms:W3CDTF">2021-05-26T07:44:00Z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3AAFA9BCC62D44EB9056E9256D659668</vt:lpwstr>
  </property>
</Properties>
</file>