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51" w:rsidRDefault="0099195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0C04DB" w:rsidTr="00F753B8">
        <w:tc>
          <w:tcPr>
            <w:tcW w:w="8296" w:type="dxa"/>
          </w:tcPr>
          <w:p w:rsidR="000C04DB" w:rsidRDefault="000C04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0C04DB" w:rsidRDefault="000C04D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超微量紫外分光光度计</w:t>
            </w:r>
          </w:p>
        </w:tc>
      </w:tr>
      <w:tr w:rsidR="00043451">
        <w:trPr>
          <w:trHeight w:val="568"/>
        </w:trPr>
        <w:tc>
          <w:tcPr>
            <w:tcW w:w="8296" w:type="dxa"/>
          </w:tcPr>
          <w:p w:rsidR="00043451" w:rsidRDefault="009919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测蛋白</w:t>
            </w:r>
          </w:p>
        </w:tc>
      </w:tr>
      <w:tr w:rsidR="00043451">
        <w:trPr>
          <w:trHeight w:val="7141"/>
        </w:trPr>
        <w:tc>
          <w:tcPr>
            <w:tcW w:w="8296" w:type="dxa"/>
          </w:tcPr>
          <w:p w:rsidR="00043451" w:rsidRDefault="0099195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参</w:t>
            </w:r>
            <w:r>
              <w:rPr>
                <w:rFonts w:ascii="宋体" w:eastAsia="宋体" w:hAnsi="宋体"/>
                <w:sz w:val="28"/>
                <w:szCs w:val="28"/>
              </w:rPr>
              <w:t>数要求：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*1.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检测浓度范围：</w:t>
            </w:r>
            <w:r>
              <w:rPr>
                <w:rFonts w:ascii="仿宋_GB2312" w:eastAsia="仿宋_GB2312" w:hAnsi="Times New Roman" w:cs="Times New Roman"/>
                <w:bCs/>
                <w:kern w:val="2"/>
              </w:rPr>
              <w:t>2ng/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μ</w:t>
            </w:r>
            <w:r>
              <w:rPr>
                <w:rFonts w:ascii="仿宋_GB2312" w:eastAsia="仿宋_GB2312" w:hAnsi="Times New Roman" w:cs="Times New Roman"/>
                <w:bCs/>
                <w:kern w:val="2"/>
              </w:rPr>
              <w:t>l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-</w:t>
            </w:r>
            <w:r>
              <w:rPr>
                <w:rFonts w:ascii="仿宋_GB2312" w:eastAsia="仿宋_GB2312" w:hAnsi="Times New Roman" w:cs="Times New Roman"/>
                <w:bCs/>
                <w:kern w:val="2"/>
              </w:rPr>
              <w:t>27500ng/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μ</w:t>
            </w:r>
            <w:r>
              <w:rPr>
                <w:rFonts w:ascii="仿宋_GB2312" w:eastAsia="仿宋_GB2312" w:hAnsi="Times New Roman" w:cs="Times New Roman"/>
                <w:bCs/>
                <w:kern w:val="2"/>
              </w:rPr>
              <w:t>l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（</w:t>
            </w:r>
            <w:r>
              <w:rPr>
                <w:rFonts w:ascii="仿宋_GB2312" w:eastAsia="仿宋_GB2312" w:hAnsi="Times New Roman" w:cs="Times New Roman"/>
                <w:bCs/>
                <w:kern w:val="2"/>
              </w:rPr>
              <w:t>dsDNA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）；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2.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波长范围：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190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－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850nm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，可进行连续波长全光谱分析；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*3</w:t>
            </w:r>
            <w:r>
              <w:rPr>
                <w:rFonts w:ascii="仿宋_GB2312" w:eastAsia="仿宋_GB2312" w:hAnsi="Times New Roman" w:cs="Times New Roman"/>
                <w:bCs/>
                <w:kern w:val="2"/>
              </w:rPr>
              <w:t>光路径：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内含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 xml:space="preserve">0.03,0.05,0.1,0.2,1mm 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5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个光程，根据样品浓度进行自动匹配最佳光程，无需手工设置，光程调节器不会曝露在空气中，避免灰尘，纸屑或液体进入生锈导致光程不准确。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4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光吸收准确度：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3%(at 0.97A at 302nm)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5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检测重复性：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0.002A(1.0mm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光程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 xml:space="preserve">) 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或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1%CV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；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6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最小样品体积≤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1ul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；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7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载样点采用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303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高抛光高耐磨不锈钢，并与主机整合在一起，</w:t>
            </w:r>
            <w:proofErr w:type="gramStart"/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直接上样并</w:t>
            </w:r>
            <w:proofErr w:type="gramEnd"/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进行样品检测，无需使用任何耗材，使用方便；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*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8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具有样品智能检测技术的软件，可根据样品检测的结果自扣除能鉴定污染物的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OD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值，保证测定样品浓度的准确性；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9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仪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器操作：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7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英寸高分辨率彩色触摸屏，触摸屏可调整角度，操作系统可支持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8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种以上的语言；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1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0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可免费下载电脑软件，用于分析和管理从仪器中导出的结果；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*1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1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仪器内置传感器，在检测前对样品形成的液</w:t>
            </w:r>
            <w:proofErr w:type="gramStart"/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柱进行</w:t>
            </w:r>
            <w:proofErr w:type="gramEnd"/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数码成像，保证检测的可靠性；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1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2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仪器的无线局域网和</w:t>
            </w:r>
            <w:proofErr w:type="gramStart"/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蓝牙设备</w:t>
            </w:r>
            <w:proofErr w:type="gramEnd"/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具备中华人民共和国工业和信息化部无线电管理局核准的《无线电发射设备型号核准证》；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*1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3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具备蛋白编辑器，可自定义蛋白类型和参数</w:t>
            </w:r>
          </w:p>
          <w:p w:rsidR="00043451" w:rsidRDefault="00991957">
            <w:pPr>
              <w:pStyle w:val="a6"/>
              <w:shd w:val="clear" w:color="auto" w:fill="FFFFFF"/>
              <w:spacing w:before="0" w:beforeAutospacing="0" w:after="0" w:afterAutospacing="0"/>
              <w:ind w:firstLine="480"/>
              <w:rPr>
                <w:rFonts w:ascii="仿宋_GB2312" w:eastAsia="仿宋_GB2312" w:hAnsi="Times New Roman" w:cs="Times New Roman"/>
                <w:bCs/>
                <w:kern w:val="2"/>
              </w:rPr>
            </w:pP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 xml:space="preserve"> 1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4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.</w:t>
            </w:r>
            <w:r>
              <w:rPr>
                <w:rFonts w:ascii="仿宋_GB2312" w:eastAsia="仿宋_GB2312" w:hAnsi="Times New Roman" w:cs="Times New Roman" w:hint="eastAsia"/>
                <w:bCs/>
                <w:kern w:val="2"/>
              </w:rPr>
              <w:t>该系列产品符合中华人民共和国计量法有关规定，获得国家质量监督检验检疫总局批准的计量器具型式批准证书。</w:t>
            </w:r>
          </w:p>
          <w:p w:rsidR="00043451" w:rsidRDefault="00991957" w:rsidP="00991957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:rsidR="00043451" w:rsidRDefault="00991957" w:rsidP="00043451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043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43451"/>
    <w:rsid w:val="00070B19"/>
    <w:rsid w:val="00077372"/>
    <w:rsid w:val="000B0253"/>
    <w:rsid w:val="000C04DB"/>
    <w:rsid w:val="00157EEC"/>
    <w:rsid w:val="00514DCB"/>
    <w:rsid w:val="00685719"/>
    <w:rsid w:val="007C0E4C"/>
    <w:rsid w:val="0085369C"/>
    <w:rsid w:val="00972FD2"/>
    <w:rsid w:val="009917FC"/>
    <w:rsid w:val="00991957"/>
    <w:rsid w:val="00BC3E37"/>
    <w:rsid w:val="00F06A8F"/>
    <w:rsid w:val="03566F04"/>
    <w:rsid w:val="10BB42CA"/>
    <w:rsid w:val="1DA0521C"/>
    <w:rsid w:val="1EAA6993"/>
    <w:rsid w:val="219F4ECC"/>
    <w:rsid w:val="33B25994"/>
    <w:rsid w:val="39800698"/>
    <w:rsid w:val="3AB530BE"/>
    <w:rsid w:val="3F3915F6"/>
    <w:rsid w:val="45031D37"/>
    <w:rsid w:val="45595317"/>
    <w:rsid w:val="49F13BD1"/>
    <w:rsid w:val="54B903A6"/>
    <w:rsid w:val="5EDF7B6F"/>
    <w:rsid w:val="64F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_Style 1"/>
    <w:basedOn w:val="a"/>
    <w:qFormat/>
    <w:pPr>
      <w:ind w:firstLineChars="200" w:firstLine="420"/>
    </w:pPr>
    <w:rPr>
      <w:szCs w:val="20"/>
    </w:rPr>
  </w:style>
  <w:style w:type="character" w:customStyle="1" w:styleId="Char0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lock Tex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_Style 1"/>
    <w:basedOn w:val="a"/>
    <w:qFormat/>
    <w:pPr>
      <w:ind w:firstLineChars="200" w:firstLine="420"/>
    </w:pPr>
    <w:rPr>
      <w:szCs w:val="20"/>
    </w:rPr>
  </w:style>
  <w:style w:type="character" w:customStyle="1" w:styleId="Char0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2019-11-01T09:10:00Z</dcterms:created>
  <dcterms:modified xsi:type="dcterms:W3CDTF">2019-12-04T08:32:00Z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