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FC" w:rsidRDefault="000B0197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9028" w:type="dxa"/>
        <w:tblInd w:w="-232" w:type="dxa"/>
        <w:tblLook w:val="04A0" w:firstRow="1" w:lastRow="0" w:firstColumn="1" w:lastColumn="0" w:noHBand="0" w:noVBand="1"/>
      </w:tblPr>
      <w:tblGrid>
        <w:gridCol w:w="9028"/>
      </w:tblGrid>
      <w:tr w:rsidR="000B0197" w:rsidTr="00743AAE">
        <w:tc>
          <w:tcPr>
            <w:tcW w:w="9028" w:type="dxa"/>
          </w:tcPr>
          <w:p w:rsidR="000B0197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B0197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冷光源人工气候箱</w:t>
            </w:r>
          </w:p>
        </w:tc>
      </w:tr>
      <w:tr w:rsidR="00A071FC">
        <w:trPr>
          <w:trHeight w:val="90"/>
        </w:trPr>
        <w:tc>
          <w:tcPr>
            <w:tcW w:w="9028" w:type="dxa"/>
          </w:tcPr>
          <w:p w:rsidR="00A071FC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A071FC" w:rsidRDefault="000B0197">
            <w:pPr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本公司冷光源系列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植物生长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箱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.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采用一次性发泡成型技术生产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,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外观精美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且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保温性能高。控制器采用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赛</w:t>
            </w:r>
            <w:proofErr w:type="gramStart"/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福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最新</w:t>
            </w:r>
            <w:proofErr w:type="gramEnd"/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研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制的培养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箱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专用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PID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控制器，完美控制温度、湿度、光照三者结台的实验环境，创造接近使用者的理想实验环境。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可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用作植物的发芽，育苗、组织、微生物的培养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;</w:t>
            </w:r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昆虫及小动物的饲养以及其它用途的人工气候试验。是生物遗传工程、医学、农业、林业、环境科学、畜牧、水产等生产</w:t>
            </w:r>
            <w:proofErr w:type="gramStart"/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利科研</w:t>
            </w:r>
            <w:proofErr w:type="gramEnd"/>
            <w:r>
              <w:rPr>
                <w:rStyle w:val="1Char"/>
                <w:rFonts w:ascii="宋体" w:eastAsia="宋体" w:hAnsi="宋体" w:cs="宋体" w:hint="eastAsia"/>
                <w:b w:val="0"/>
                <w:bCs/>
                <w:sz w:val="24"/>
                <w:szCs w:val="24"/>
              </w:rPr>
              <w:t>部门理想的试验设备。</w:t>
            </w:r>
          </w:p>
        </w:tc>
        <w:bookmarkStart w:id="0" w:name="_GoBack"/>
        <w:bookmarkEnd w:id="0"/>
      </w:tr>
      <w:tr w:rsidR="00A071FC">
        <w:trPr>
          <w:trHeight w:val="7141"/>
        </w:trPr>
        <w:tc>
          <w:tcPr>
            <w:tcW w:w="9028" w:type="dxa"/>
          </w:tcPr>
          <w:p w:rsidR="00A071FC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071FC" w:rsidRDefault="000B019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:rsidR="00A071FC" w:rsidRDefault="000B019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）容积：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1000L</w:t>
            </w:r>
          </w:p>
          <w:p w:rsidR="00A071FC" w:rsidRDefault="000B019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）内外尺寸：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1110*6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0*1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1220*7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0*1860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控温范围：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温度波动度：≤±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℃，温度偏差：≤±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温度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均匀度：≤±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</w:p>
          <w:p w:rsidR="00A071FC" w:rsidRDefault="000B0197">
            <w:pPr>
              <w:spacing w:line="0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控湿范围：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50%~95%RH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，湿度波动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5%RH</w:t>
            </w:r>
          </w:p>
          <w:p w:rsidR="00A071FC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箱体外表钢板喷塑、保温采用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公分聚氨酯发泡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技术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内胆不锈钢板</w:t>
            </w:r>
          </w:p>
          <w:p w:rsidR="00A071FC" w:rsidRDefault="000B0197">
            <w:pPr>
              <w:spacing w:line="0" w:lineRule="atLeast"/>
              <w:ind w:left="480" w:hangingChars="200" w:hanging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层内置垂直光照，采用进口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LED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植物生长灯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光照强度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0-30000LX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（无级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任意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可调，标准测试点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15CM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，离光源处），光源板尺寸：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400*400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LED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顶置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光源灯板防水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、防腐性能强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风道式通风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背部出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内部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循环，工作室风速柔和，温度均匀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）自然换气功能：手自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体式换气可更具实验要求定时定量更换箱内环境空气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升温时间：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℃升至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降温时间：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℃降至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）温度报警：机械超温断电感应更快更灵敏</w:t>
            </w:r>
          </w:p>
          <w:p w:rsidR="00A071FC" w:rsidRDefault="000B0197">
            <w:pPr>
              <w:ind w:left="960" w:hangingChars="400" w:hanging="9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制冷装置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进口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丹弗斯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压缩机与合理的冷凝器蒸发器冷热交换比例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(1: 1.135)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制冷效果好，节能、使用寿命长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; </w:t>
            </w:r>
          </w:p>
          <w:p w:rsidR="00A071FC" w:rsidRDefault="000B019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压缩机：压缩机动延时保护时间：开启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分钟左右</w:t>
            </w:r>
          </w:p>
          <w:p w:rsidR="00A071FC" w:rsidRDefault="000B0197">
            <w:pPr>
              <w:ind w:left="720" w:hangingChars="300" w:hanging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加热装置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特殊定制的镍铬合金加热装置，合理功率配比，加热效果好、节能、使用寿命长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;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加热功率：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800W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（17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制冷剂：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R134a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（无氟）噪音：＜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70Db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）液晶屏显示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，可编程序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段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显示更全面操作更简便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A071FC" w:rsidRDefault="000B0197">
            <w:pPr>
              <w:spacing w:line="0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工作方式：周期范围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 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段可连续循环，多段控制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电源：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22V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0.5HZ</w:t>
            </w:r>
          </w:p>
          <w:p w:rsidR="00A071FC" w:rsidRDefault="000B019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）移动功能：外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移动轮，方便实验室移动实验设备</w:t>
            </w:r>
          </w:p>
          <w:p w:rsidR="00A071FC" w:rsidRDefault="000B019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13CAABA9" wp14:editId="61283022">
                  <wp:extent cx="5434330" cy="3261995"/>
                  <wp:effectExtent l="0" t="0" r="1270" b="1905"/>
                  <wp:docPr id="1" name="图片 1" descr="820e934c7c6c649cdb34741c3978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20e934c7c6c649cdb34741c39780f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330" cy="326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114300" distR="114300" wp14:anchorId="5DCB7BF7" wp14:editId="625F96FC">
                  <wp:extent cx="5475605" cy="2614930"/>
                  <wp:effectExtent l="0" t="0" r="10795" b="1270"/>
                  <wp:docPr id="2" name="图片 2" descr="650441686d52313246cdf6c06b825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50441686d52313246cdf6c06b825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605" cy="261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71FC" w:rsidRDefault="000B0197" w:rsidP="000B0197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 </w:t>
            </w:r>
          </w:p>
        </w:tc>
      </w:tr>
    </w:tbl>
    <w:p w:rsidR="00A071FC" w:rsidRDefault="000B0197">
      <w:pPr>
        <w:ind w:leftChars="-1" w:left="324" w:hangingChars="136" w:hanging="3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 </w:t>
      </w:r>
    </w:p>
    <w:p w:rsidR="00A071FC" w:rsidRDefault="00A071FC">
      <w:pPr>
        <w:rPr>
          <w:rFonts w:ascii="宋体" w:eastAsia="宋体" w:hAnsi="宋体"/>
          <w:sz w:val="18"/>
          <w:szCs w:val="18"/>
        </w:rPr>
      </w:pPr>
    </w:p>
    <w:sectPr w:rsidR="00A0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0197"/>
    <w:rsid w:val="0011746F"/>
    <w:rsid w:val="003372BD"/>
    <w:rsid w:val="007C0E4C"/>
    <w:rsid w:val="0085369C"/>
    <w:rsid w:val="009917FC"/>
    <w:rsid w:val="00A071FC"/>
    <w:rsid w:val="00F06A8F"/>
    <w:rsid w:val="11CE2063"/>
    <w:rsid w:val="2FBC04BB"/>
    <w:rsid w:val="3D2B26CC"/>
    <w:rsid w:val="64351188"/>
    <w:rsid w:val="7FF6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styleId="a4">
    <w:name w:val="Balloon Text"/>
    <w:basedOn w:val="a"/>
    <w:link w:val="Char"/>
    <w:uiPriority w:val="99"/>
    <w:semiHidden/>
    <w:unhideWhenUsed/>
    <w:rsid w:val="000B01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01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b/>
      <w:kern w:val="44"/>
      <w:sz w:val="44"/>
    </w:rPr>
  </w:style>
  <w:style w:type="paragraph" w:styleId="a4">
    <w:name w:val="Balloon Text"/>
    <w:basedOn w:val="a"/>
    <w:link w:val="Char"/>
    <w:uiPriority w:val="99"/>
    <w:semiHidden/>
    <w:unhideWhenUsed/>
    <w:rsid w:val="000B019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01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2020-11-13T06:20:00Z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