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90A" w:rsidRDefault="0042490A">
      <w:pPr>
        <w:jc w:val="center"/>
        <w:rPr>
          <w:rFonts w:ascii="宋体" w:eastAsia="宋体" w:hAnsi="宋体"/>
          <w:sz w:val="32"/>
          <w:szCs w:val="32"/>
        </w:rPr>
      </w:pPr>
    </w:p>
    <w:p w:rsidR="0042490A" w:rsidRDefault="004905E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901D85" w:rsidTr="00901D85">
        <w:tc>
          <w:tcPr>
            <w:tcW w:w="1980" w:type="dxa"/>
          </w:tcPr>
          <w:p w:rsidR="00901D85" w:rsidRDefault="00901D8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901D85" w:rsidRPr="00901D85" w:rsidRDefault="00901D85">
            <w:pPr>
              <w:rPr>
                <w:rFonts w:ascii="宋体" w:eastAsia="宋体" w:hAnsi="宋体"/>
                <w:sz w:val="28"/>
                <w:szCs w:val="28"/>
              </w:rPr>
            </w:pPr>
            <w:r w:rsidRPr="00901D85">
              <w:rPr>
                <w:rFonts w:ascii="Times New Roman" w:eastAsia="宋体" w:hAnsi="宋体" w:hint="eastAsia"/>
                <w:color w:val="0D0D0D" w:themeColor="text1" w:themeTint="F2"/>
                <w:sz w:val="28"/>
                <w:szCs w:val="28"/>
              </w:rPr>
              <w:t>高压纯化制备色谱系统</w:t>
            </w:r>
          </w:p>
        </w:tc>
      </w:tr>
      <w:tr w:rsidR="0042490A">
        <w:tc>
          <w:tcPr>
            <w:tcW w:w="2830" w:type="dxa"/>
            <w:gridSpan w:val="2"/>
          </w:tcPr>
          <w:p w:rsidR="0042490A" w:rsidRDefault="004905E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42490A" w:rsidRDefault="004905E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Bonna-Agela FL-H100GS</w:t>
            </w:r>
          </w:p>
        </w:tc>
      </w:tr>
      <w:tr w:rsidR="0042490A">
        <w:trPr>
          <w:trHeight w:val="1296"/>
        </w:trPr>
        <w:tc>
          <w:tcPr>
            <w:tcW w:w="8296" w:type="dxa"/>
            <w:gridSpan w:val="3"/>
          </w:tcPr>
          <w:p w:rsidR="00901D85" w:rsidRDefault="004905E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</w:p>
          <w:p w:rsidR="0042490A" w:rsidRDefault="004905E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Times New Roman" w:eastAsia="宋体" w:hAnsi="宋体" w:cs="黑体" w:hint="eastAsia"/>
                <w:color w:val="0D0D0D" w:themeColor="text1" w:themeTint="F2"/>
                <w:kern w:val="0"/>
                <w:szCs w:val="21"/>
              </w:rPr>
              <w:t>药物分离、制备、植化，天然药物分离提纯</w:t>
            </w:r>
          </w:p>
        </w:tc>
      </w:tr>
      <w:tr w:rsidR="0042490A">
        <w:trPr>
          <w:trHeight w:val="7141"/>
        </w:trPr>
        <w:tc>
          <w:tcPr>
            <w:tcW w:w="8296" w:type="dxa"/>
            <w:gridSpan w:val="3"/>
          </w:tcPr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901D85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b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b/>
                <w:color w:val="0D0D0D" w:themeColor="text1" w:themeTint="F2"/>
                <w:kern w:val="0"/>
                <w:sz w:val="24"/>
                <w:szCs w:val="24"/>
              </w:rPr>
              <w:t>1．泵系统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1．1 流速1-100ml/min，多点流速校正曲线，实现流速高精度，精度1%以内。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1．2 浮动柱塞设计，密封圈高寿命，连续输送液体，流速精确，压力稳定，实时监测压力，最大压力可达20Mpa。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1．3 二元溶剂系统，两种溶剂可以任意梯度进行混合运行，可在线修改梯度和流速，电子阻尼设计，低脉动。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b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b/>
                <w:color w:val="0D0D0D" w:themeColor="text1" w:themeTint="F2"/>
                <w:kern w:val="0"/>
                <w:sz w:val="24"/>
                <w:szCs w:val="24"/>
              </w:rPr>
              <w:t>2 . 检测器系统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2．1 双波长通道，可支持两个波长同时进行监测和收集，高通量的流通池，可允许大流量样品的通过而不用担心流通池堵塞或超压漏液；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2．2 吸收值：0-5AU；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2．3 波长范围：200-800nm；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黑体"/>
                <w:color w:val="0D0D0D" w:themeColor="text1" w:themeTint="F2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2．4 光源类型：氘灯、坞灯光源，</w:t>
            </w:r>
            <w:r w:rsidRPr="00901D85">
              <w:rPr>
                <w:rFonts w:ascii="宋体" w:eastAsia="宋体" w:hAnsi="宋体" w:cs="黑体" w:hint="eastAsia"/>
                <w:color w:val="0D0D0D" w:themeColor="text1" w:themeTint="F2"/>
                <w:sz w:val="24"/>
                <w:szCs w:val="24"/>
              </w:rPr>
              <w:t>优化的点灯过程，有效延长灯源寿命；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2．5 光谱宽带：8nm，波长精度：1nm。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黑体"/>
                <w:color w:val="0D0D0D" w:themeColor="text1" w:themeTint="F2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 xml:space="preserve">2．6 </w:t>
            </w:r>
            <w:r w:rsidRPr="00901D85">
              <w:rPr>
                <w:rFonts w:ascii="宋体" w:eastAsia="宋体" w:hAnsi="宋体" w:cs="黑体" w:hint="eastAsia"/>
                <w:color w:val="0D0D0D" w:themeColor="text1" w:themeTint="F2"/>
                <w:sz w:val="24"/>
                <w:szCs w:val="24"/>
              </w:rPr>
              <w:t>耐污染防气泡的结构设计，无需担心使用过程中高浓度</w:t>
            </w:r>
            <w:r w:rsidRPr="00901D85">
              <w:rPr>
                <w:rFonts w:ascii="宋体" w:eastAsia="宋体" w:hAnsi="宋体" w:cs="黑体"/>
                <w:color w:val="0D0D0D" w:themeColor="text1" w:themeTint="F2"/>
                <w:sz w:val="24"/>
                <w:szCs w:val="24"/>
              </w:rPr>
              <w:t>/</w:t>
            </w:r>
            <w:r w:rsidRPr="00901D85">
              <w:rPr>
                <w:rFonts w:ascii="宋体" w:eastAsia="宋体" w:hAnsi="宋体" w:cs="黑体" w:hint="eastAsia"/>
                <w:color w:val="0D0D0D" w:themeColor="text1" w:themeTint="F2"/>
                <w:sz w:val="24"/>
                <w:szCs w:val="24"/>
              </w:rPr>
              <w:t>高粘度制备样品通过后污染流通池，也不用担心大体积流动相混合产品大量气泡影响检测；</w:t>
            </w:r>
          </w:p>
          <w:p w:rsidR="0042490A" w:rsidRPr="00901D85" w:rsidRDefault="004905E0" w:rsidP="00901D85">
            <w:pPr>
              <w:adjustRightInd w:val="0"/>
              <w:snapToGrid w:val="0"/>
              <w:spacing w:line="360" w:lineRule="auto"/>
              <w:rPr>
                <w:rFonts w:ascii="宋体" w:eastAsia="宋体" w:hAnsi="宋体" w:cs="Arial"/>
                <w:b/>
                <w:bCs/>
                <w:snapToGrid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b/>
                <w:color w:val="0D0D0D" w:themeColor="text1" w:themeTint="F2"/>
                <w:kern w:val="0"/>
                <w:sz w:val="24"/>
                <w:szCs w:val="24"/>
              </w:rPr>
              <w:t>3．</w:t>
            </w:r>
            <w:r w:rsidRPr="00901D85">
              <w:rPr>
                <w:rFonts w:ascii="宋体" w:eastAsia="宋体" w:hAnsi="宋体" w:cs="Arial" w:hint="eastAsia"/>
                <w:b/>
                <w:bCs/>
                <w:snapToGrid w:val="0"/>
                <w:sz w:val="24"/>
                <w:szCs w:val="24"/>
              </w:rPr>
              <w:t>进样阀</w:t>
            </w:r>
          </w:p>
          <w:p w:rsidR="0042490A" w:rsidRPr="00901D85" w:rsidRDefault="004905E0" w:rsidP="00901D85">
            <w:pPr>
              <w:adjustRightInd w:val="0"/>
              <w:snapToGrid w:val="0"/>
              <w:spacing w:line="360" w:lineRule="auto"/>
              <w:rPr>
                <w:rFonts w:ascii="宋体" w:eastAsia="宋体" w:hAnsi="宋体" w:cs="Arial"/>
                <w:b/>
                <w:bCs/>
                <w:snapToGrid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3．1</w:t>
            </w:r>
            <w:r w:rsidRPr="00901D85">
              <w:rPr>
                <w:rFonts w:ascii="宋体" w:eastAsia="宋体" w:hAnsi="宋体" w:cs="Arial" w:hint="eastAsia"/>
                <w:bCs/>
                <w:sz w:val="24"/>
                <w:szCs w:val="24"/>
              </w:rPr>
              <w:t>最高耐温80℃，最高耐受压力48MPa，材质：316不锈钢、vespel(转子)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b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b/>
                <w:color w:val="0D0D0D" w:themeColor="text1" w:themeTint="F2"/>
                <w:kern w:val="0"/>
                <w:sz w:val="24"/>
                <w:szCs w:val="24"/>
              </w:rPr>
              <w:t>4 . 控制软件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4．1 可进行历史运行方法的保存与打开，并可设置保存位置，方便后期使用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4．2 方法运行结束后自动保存，可设置保存位置，可随时调出历史文件查看，</w:t>
            </w: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lastRenderedPageBreak/>
              <w:t>可自动输出PDF等格式实验报告。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kern w:val="0"/>
                <w:sz w:val="24"/>
                <w:szCs w:val="24"/>
              </w:rPr>
              <w:t>※</w:t>
            </w: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4．3 可将实验图谱输出PDF实验报告，可将实验图谱批量生成PDF实验报告，报告包括样品名称、实验人、方法内容、样品收集时间、对应试管等内容。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4．4 可在线修改方法、拖动梯度、修改流速、波长、设置坐标等功能；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4．5 可自行设置试管架规格、试管个数及试管坐标，也可设置收集瓶个数、坐标。</w:t>
            </w:r>
          </w:p>
          <w:p w:rsidR="0042490A" w:rsidRPr="00901D85" w:rsidRDefault="004905E0" w:rsidP="00901D85">
            <w:pPr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4．6 可分为全收集、峰收集、手动收集和窗口收集四种收集方式，其中峰收集可设置阈值和斜率收集两种设置，窗口收集可设置为阈值/时间自由组合等收集方式；</w:t>
            </w:r>
          </w:p>
          <w:p w:rsidR="0042490A" w:rsidRPr="00901D85" w:rsidRDefault="004905E0" w:rsidP="00901D85">
            <w:pPr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4．7 无需外置软件，可在主机软件上面连接外置示差检测器、蒸发光检测器，并可控制馏分收集；</w:t>
            </w:r>
          </w:p>
          <w:p w:rsidR="0042490A" w:rsidRPr="00901D85" w:rsidRDefault="004905E0" w:rsidP="00901D85">
            <w:pPr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4．8 可在线运行时查看离线文件，以及离线图谱收集信息、收集时间等信息；</w:t>
            </w:r>
          </w:p>
          <w:p w:rsidR="0042490A" w:rsidRPr="00901D85" w:rsidRDefault="004905E0" w:rsidP="00901D85">
            <w:pPr>
              <w:spacing w:line="360" w:lineRule="auto"/>
              <w:jc w:val="left"/>
              <w:rPr>
                <w:rFonts w:ascii="宋体" w:eastAsia="宋体" w:hAnsi="宋体" w:cs="Arial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kern w:val="0"/>
                <w:sz w:val="24"/>
                <w:szCs w:val="24"/>
              </w:rPr>
              <w:t>※</w:t>
            </w: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4．9 可连接自动进样器、自动收集器，实现完全整套系统的无人看管、自动进样、自动收集。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4．10 双波长系统，可选择单波长或者双波长收集方式，以及外接检测器的收集。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4．11 可设置溶剂种类，便于输出报告的准确性</w:t>
            </w:r>
            <w:bookmarkStart w:id="0" w:name="_GoBack"/>
            <w:bookmarkEnd w:id="0"/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与方便性。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黑体"/>
                <w:b/>
                <w:color w:val="0D0D0D" w:themeColor="text1" w:themeTint="F2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b/>
                <w:color w:val="0D0D0D" w:themeColor="text1" w:themeTint="F2"/>
                <w:kern w:val="0"/>
                <w:sz w:val="24"/>
                <w:szCs w:val="24"/>
              </w:rPr>
              <w:t>5 . 耗材</w:t>
            </w:r>
          </w:p>
          <w:p w:rsidR="0042490A" w:rsidRPr="00901D85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Arial"/>
                <w:color w:val="000000"/>
                <w:kern w:val="0"/>
                <w:sz w:val="24"/>
                <w:szCs w:val="24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>5．1</w:t>
            </w:r>
            <w:r w:rsidRPr="00901D85">
              <w:rPr>
                <w:rFonts w:ascii="宋体" w:eastAsia="宋体" w:hAnsi="宋体" w:cs="黑体" w:hint="eastAsia"/>
                <w:bCs/>
                <w:color w:val="0D0D0D" w:themeColor="text1" w:themeTint="F2"/>
                <w:kern w:val="0"/>
                <w:sz w:val="24"/>
                <w:szCs w:val="24"/>
              </w:rPr>
              <w:t>配</w:t>
            </w:r>
            <w:r w:rsidRPr="00901D8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21.2*250mm，10um，C18填料不锈钢高压制备色谱柱一支。</w:t>
            </w:r>
          </w:p>
          <w:p w:rsidR="0042490A" w:rsidRDefault="004905E0" w:rsidP="00901D8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901D85">
              <w:rPr>
                <w:rFonts w:ascii="宋体" w:eastAsia="宋体" w:hAnsi="宋体" w:cs="黑体" w:hint="eastAsia"/>
                <w:color w:val="0D0D0D" w:themeColor="text1" w:themeTint="F2"/>
                <w:kern w:val="0"/>
                <w:sz w:val="24"/>
                <w:szCs w:val="24"/>
              </w:rPr>
              <w:t xml:space="preserve">5．2 </w:t>
            </w:r>
            <w:r w:rsidRPr="00901D8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配高压转中低压工具包一套，可</w:t>
            </w:r>
            <w:r w:rsidR="007064B9" w:rsidRPr="00901D8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让系统</w:t>
            </w:r>
            <w:r w:rsidRPr="00901D8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实现高压和中低压柱切换使用。</w:t>
            </w:r>
          </w:p>
        </w:tc>
      </w:tr>
    </w:tbl>
    <w:p w:rsidR="0042490A" w:rsidRDefault="0042490A" w:rsidP="00901D85">
      <w:pPr>
        <w:rPr>
          <w:rFonts w:ascii="宋体" w:eastAsia="宋体" w:hAnsi="宋体"/>
          <w:sz w:val="18"/>
          <w:szCs w:val="18"/>
        </w:rPr>
      </w:pPr>
    </w:p>
    <w:sectPr w:rsidR="0042490A" w:rsidSect="004249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1A8" w:rsidRDefault="009771A8" w:rsidP="007064B9">
      <w:r>
        <w:separator/>
      </w:r>
    </w:p>
  </w:endnote>
  <w:endnote w:type="continuationSeparator" w:id="0">
    <w:p w:rsidR="009771A8" w:rsidRDefault="009771A8" w:rsidP="0070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1A8" w:rsidRDefault="009771A8" w:rsidP="007064B9">
      <w:r>
        <w:separator/>
      </w:r>
    </w:p>
  </w:footnote>
  <w:footnote w:type="continuationSeparator" w:id="0">
    <w:p w:rsidR="009771A8" w:rsidRDefault="009771A8" w:rsidP="00706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42490A"/>
    <w:rsid w:val="004905E0"/>
    <w:rsid w:val="007064B9"/>
    <w:rsid w:val="007C0E4C"/>
    <w:rsid w:val="0085369C"/>
    <w:rsid w:val="00901D85"/>
    <w:rsid w:val="009771A8"/>
    <w:rsid w:val="009917FC"/>
    <w:rsid w:val="00F06A8F"/>
    <w:rsid w:val="0D073433"/>
    <w:rsid w:val="2C8B60BF"/>
    <w:rsid w:val="30DB2358"/>
    <w:rsid w:val="34994A7F"/>
    <w:rsid w:val="3F0C2A70"/>
    <w:rsid w:val="4C1051DC"/>
    <w:rsid w:val="531E1A34"/>
    <w:rsid w:val="56F02944"/>
    <w:rsid w:val="68F578D8"/>
    <w:rsid w:val="76142C9B"/>
    <w:rsid w:val="771D0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D909A4"/>
  <w15:docId w15:val="{060DABE5-E51C-4DF4-8DC4-08CC9FC8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90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424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06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7064B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706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7064B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973</Characters>
  <Application>Microsoft Office Word</Application>
  <DocSecurity>0</DocSecurity>
  <Lines>8</Lines>
  <Paragraphs>2</Paragraphs>
  <ScaleCrop>false</ScaleCrop>
  <Company>南京中医药大学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5</cp:revision>
  <dcterms:created xsi:type="dcterms:W3CDTF">2016-11-04T07:20:00Z</dcterms:created>
  <dcterms:modified xsi:type="dcterms:W3CDTF">2016-12-09T01:27:00Z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